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BAFE">
      <w:pPr>
        <w:autoSpaceDE w:val="0"/>
        <w:autoSpaceDN w:val="0"/>
        <w:adjustRightInd w:val="0"/>
        <w:spacing w:line="240" w:lineRule="auto"/>
        <w:jc w:val="distribute"/>
        <w:rPr>
          <w:rFonts w:hint="eastAsia" w:eastAsia="方正小标宋简体"/>
          <w:color w:val="FF0000"/>
          <w:spacing w:val="108"/>
          <w:w w:val="100"/>
          <w:kern w:val="0"/>
          <w:sz w:val="84"/>
          <w:szCs w:val="84"/>
        </w:rPr>
      </w:pPr>
      <w:bookmarkStart w:id="0" w:name="_GoBack"/>
      <w:bookmarkEnd w:id="0"/>
      <w:r>
        <w:rPr>
          <w:rFonts w:hint="eastAsia" w:eastAsia="方正小标宋简体"/>
          <w:color w:val="FF0000"/>
          <w:spacing w:val="108"/>
          <w:w w:val="100"/>
          <w:kern w:val="0"/>
          <w:sz w:val="84"/>
          <w:szCs w:val="84"/>
        </w:rPr>
        <w:t>南宁市工人文化宫</w:t>
      </w:r>
    </w:p>
    <w:p w14:paraId="2474E618">
      <w:pPr>
        <w:spacing w:line="560" w:lineRule="exact"/>
        <w:jc w:val="center"/>
        <w:rPr>
          <w:rFonts w:ascii="宋体"/>
          <w:b/>
          <w:kern w:val="0"/>
          <w:sz w:val="44"/>
          <w:szCs w:val="44"/>
        </w:rPr>
      </w:pP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rPr>
        <w:t xml:space="preserve"> </w:t>
      </w:r>
      <w:r>
        <w:rPr>
          <w:rFonts w:hint="eastAsia" w:ascii="仿宋" w:hAnsi="仿宋" w:eastAsia="仿宋"/>
          <w:color w:val="000000"/>
          <w:kern w:val="0"/>
          <w:sz w:val="32"/>
          <w:szCs w:val="32"/>
        </w:rPr>
        <w:t>南宫函〔</w:t>
      </w:r>
      <w:r>
        <w:rPr>
          <w:rFonts w:hint="eastAsia" w:ascii="仿宋" w:hAnsi="仿宋" w:eastAsia="仿宋"/>
          <w:color w:val="000000"/>
          <w:kern w:val="0"/>
          <w:sz w:val="32"/>
          <w:szCs w:val="32"/>
          <w:lang w:val="en-US" w:eastAsia="zh-CN"/>
        </w:rPr>
        <w:t>2025</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16</w:t>
      </w:r>
      <w:r>
        <w:rPr>
          <w:rFonts w:hint="eastAsia" w:ascii="仿宋" w:hAnsi="仿宋" w:eastAsia="仿宋" w:cs="仿宋_GB2312"/>
          <w:color w:val="000000"/>
          <w:kern w:val="0"/>
          <w:sz w:val="32"/>
          <w:szCs w:val="32"/>
        </w:rPr>
        <w:t>号</w:t>
      </w:r>
    </w:p>
    <w:p w14:paraId="7505E846">
      <w:pPr>
        <w:pageBreakBefore w:val="0"/>
        <w:kinsoku/>
        <w:wordWrap/>
        <w:overflowPunct/>
        <w:topLinePunct w:val="0"/>
        <w:bidi w:val="0"/>
        <w:snapToGrid/>
        <w:spacing w:line="520" w:lineRule="exact"/>
        <w:ind w:firstLine="3080" w:firstLineChars="700"/>
        <w:jc w:val="both"/>
        <w:textAlignment w:val="auto"/>
        <w:rPr>
          <w:rFonts w:hint="eastAsia" w:ascii="方正小标宋简体" w:hAnsi="方正小标宋简体" w:eastAsia="方正小标宋简体" w:cs="方正小标宋简体"/>
          <w:b w:val="0"/>
          <w:bCs/>
          <w:kern w:val="0"/>
          <w:sz w:val="44"/>
          <w:szCs w:val="44"/>
          <w:lang w:val="en-US" w:eastAsia="zh-CN"/>
        </w:rPr>
      </w:pPr>
    </w:p>
    <w:p w14:paraId="06684287">
      <w:pPr>
        <w:keepNext w:val="0"/>
        <w:keepLines w:val="0"/>
        <w:pageBreakBefore w:val="0"/>
        <w:widowControl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南宁市工人文化宫2024年度画册设计制作</w:t>
      </w:r>
    </w:p>
    <w:p w14:paraId="12214821">
      <w:pPr>
        <w:keepNext w:val="0"/>
        <w:keepLines w:val="0"/>
        <w:pageBreakBefore w:val="0"/>
        <w:widowControl w:val="0"/>
        <w:kinsoku/>
        <w:wordWrap/>
        <w:overflowPunct/>
        <w:topLinePunct w:val="0"/>
        <w:autoSpaceDN/>
        <w:bidi w:val="0"/>
        <w:adjustRightInd/>
        <w:snapToGrid/>
        <w:spacing w:line="520" w:lineRule="exact"/>
        <w:jc w:val="center"/>
        <w:textAlignment w:val="auto"/>
        <w:rPr>
          <w:rFonts w:ascii="仿宋_GB2312" w:eastAsia="仿宋_GB2312"/>
          <w:sz w:val="32"/>
          <w:szCs w:val="32"/>
          <w:u w:val="single"/>
        </w:rPr>
      </w:pPr>
      <w:r>
        <w:rPr>
          <w:rFonts w:hint="eastAsia" w:ascii="方正小标宋简体" w:hAnsi="方正小标宋简体" w:eastAsia="方正小标宋简体" w:cs="方正小标宋简体"/>
          <w:sz w:val="44"/>
          <w:szCs w:val="44"/>
          <w:lang w:val="en-US" w:eastAsia="zh-CN"/>
        </w:rPr>
        <w:t>项目询价邀请函</w:t>
      </w:r>
    </w:p>
    <w:p w14:paraId="43E211DD">
      <w:pPr>
        <w:pStyle w:val="5"/>
        <w:pageBreakBefore w:val="0"/>
        <w:kinsoku/>
        <w:wordWrap/>
        <w:overflowPunct/>
        <w:topLinePunct w:val="0"/>
        <w:bidi w:val="0"/>
        <w:snapToGrid/>
        <w:spacing w:line="520" w:lineRule="exact"/>
        <w:textAlignment w:val="auto"/>
        <w:outlineLvl w:val="0"/>
        <w:rPr>
          <w:rFonts w:ascii="仿宋_GB2312" w:eastAsia="仿宋_GB2312"/>
          <w:sz w:val="28"/>
          <w:szCs w:val="28"/>
        </w:rPr>
      </w:pPr>
      <w:r>
        <w:rPr>
          <w:rFonts w:ascii="仿宋_GB2312" w:eastAsia="仿宋_GB2312"/>
          <w:sz w:val="28"/>
          <w:szCs w:val="28"/>
        </w:rPr>
        <w:t xml:space="preserve">   </w:t>
      </w:r>
    </w:p>
    <w:p w14:paraId="24C622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为全面总结文化宫2024年度工作成效，生动展现职工文化建设成果，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南宁市工人文化宫</w:t>
      </w:r>
      <w:r>
        <w:rPr>
          <w:rFonts w:hint="eastAsia" w:ascii="仿宋_GB2312" w:hAnsi="仿宋_GB2312" w:eastAsia="仿宋_GB2312" w:cs="仿宋_GB2312"/>
          <w:sz w:val="32"/>
          <w:szCs w:val="32"/>
        </w:rPr>
        <w:t>年度计划</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工作安排，</w:t>
      </w:r>
      <w:r>
        <w:rPr>
          <w:rFonts w:hint="eastAsia" w:ascii="仿宋_GB2312" w:hAnsi="仿宋_GB2312" w:eastAsia="仿宋_GB2312" w:cs="仿宋_GB2312"/>
          <w:sz w:val="32"/>
          <w:szCs w:val="32"/>
          <w:lang w:val="en-US" w:eastAsia="zh-CN"/>
        </w:rPr>
        <w:t>计划制作2024年度画册，为保证画册整体质量，现对我单位2024年度画册设计制作项目进行询价，</w:t>
      </w:r>
      <w:r>
        <w:rPr>
          <w:rFonts w:hint="eastAsia" w:ascii="仿宋_GB2312" w:hAnsi="仿宋_GB2312" w:eastAsia="仿宋_GB2312" w:cs="仿宋_GB2312"/>
          <w:sz w:val="32"/>
          <w:szCs w:val="32"/>
        </w:rPr>
        <w:t>诚邀</w:t>
      </w:r>
      <w:r>
        <w:rPr>
          <w:rFonts w:hint="eastAsia" w:ascii="仿宋_GB2312" w:hAnsi="仿宋_GB2312" w:eastAsia="仿宋_GB2312" w:cs="仿宋_GB2312"/>
          <w:sz w:val="32"/>
          <w:szCs w:val="32"/>
          <w:lang w:val="en-US" w:eastAsia="zh-CN"/>
        </w:rPr>
        <w:t>符合要求的</w:t>
      </w:r>
      <w:r>
        <w:rPr>
          <w:rFonts w:hint="eastAsia" w:ascii="仿宋_GB2312" w:hAnsi="仿宋_GB2312" w:eastAsia="仿宋_GB2312" w:cs="仿宋_GB2312"/>
          <w:kern w:val="2"/>
          <w:sz w:val="32"/>
          <w:szCs w:val="32"/>
          <w:lang w:val="en-US" w:eastAsia="zh-CN" w:bidi="ar-SA"/>
        </w:rPr>
        <w:t>单位或企业</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并按</w:t>
      </w: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eastAsia="zh-CN"/>
        </w:rPr>
        <w:t>填写，有关事项说明如下：</w:t>
      </w:r>
    </w:p>
    <w:p w14:paraId="153A1070">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项目名称：</w:t>
      </w:r>
      <w:r>
        <w:rPr>
          <w:rFonts w:hint="eastAsia" w:ascii="仿宋_GB2312" w:hAnsi="仿宋_GB2312" w:eastAsia="仿宋_GB2312" w:cs="仿宋_GB2312"/>
          <w:color w:val="auto"/>
          <w:sz w:val="32"/>
          <w:szCs w:val="32"/>
          <w:lang w:val="en-US" w:eastAsia="zh-CN"/>
        </w:rPr>
        <w:t>南宁市工人文化宫2024年</w:t>
      </w:r>
      <w:r>
        <w:rPr>
          <w:rFonts w:hint="eastAsia" w:ascii="仿宋_GB2312" w:hAnsi="仿宋_GB2312" w:eastAsia="仿宋_GB2312" w:cs="仿宋_GB2312"/>
          <w:sz w:val="32"/>
          <w:szCs w:val="32"/>
          <w:lang w:val="en-US" w:eastAsia="zh-CN"/>
        </w:rPr>
        <w:t>度画册设计制作项目</w:t>
      </w:r>
    </w:p>
    <w:p w14:paraId="7CFCDA70">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项目地址</w:t>
      </w:r>
      <w:r>
        <w:rPr>
          <w:rFonts w:hint="eastAsia" w:ascii="黑体" w:hAnsi="黑体" w:eastAsia="黑体" w:cs="黑体"/>
          <w:b w:val="0"/>
          <w:bCs/>
          <w:sz w:val="32"/>
          <w:szCs w:val="32"/>
        </w:rPr>
        <w:t>：</w:t>
      </w:r>
      <w:r>
        <w:rPr>
          <w:rFonts w:hint="eastAsia" w:ascii="仿宋_GB2312" w:hAnsi="仿宋_GB2312" w:eastAsia="仿宋_GB2312" w:cs="仿宋_GB2312"/>
          <w:sz w:val="32"/>
          <w:szCs w:val="32"/>
          <w:lang w:val="en-US" w:eastAsia="zh-CN"/>
        </w:rPr>
        <w:t>广西南宁市兴宁区民主路20号南宁市工人文化宫</w:t>
      </w:r>
    </w:p>
    <w:p w14:paraId="57E1E68C">
      <w:pPr>
        <w:pStyle w:val="12"/>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b w:val="0"/>
          <w:bCs/>
          <w:kern w:val="2"/>
          <w:sz w:val="32"/>
          <w:szCs w:val="32"/>
          <w:lang w:val="en-US" w:eastAsia="zh-CN" w:bidi="ar-SA"/>
        </w:rPr>
        <w:t>三、项目内容：</w:t>
      </w:r>
      <w:r>
        <w:rPr>
          <w:rFonts w:hint="eastAsia" w:ascii="仿宋_GB2312" w:hAnsi="仿宋_GB2312" w:eastAsia="仿宋_GB2312" w:cs="仿宋_GB2312"/>
          <w:kern w:val="2"/>
          <w:sz w:val="32"/>
          <w:szCs w:val="32"/>
          <w:lang w:val="en-US" w:eastAsia="zh-CN" w:bidi="ar-SA"/>
        </w:rPr>
        <w:t>画册设计印刷（含打样）、图片处理、电子画册。</w:t>
      </w:r>
    </w:p>
    <w:p w14:paraId="04402D1C">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四、报价人资格及所需资料</w:t>
      </w:r>
      <w:r>
        <w:rPr>
          <w:rFonts w:hint="eastAsia"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sz w:val="32"/>
          <w:szCs w:val="32"/>
        </w:rPr>
        <w:t>注明为复印件的均需加盖公章）</w:t>
      </w:r>
    </w:p>
    <w:p w14:paraId="1A5AB14C">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（一）报价人资格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 xml:space="preserve">在中华人民共和国境内登记注册的、具有独立承担民事责任的有能力提供询价项目服务的经销商或企业。本项目不接受联合体报价。 </w:t>
      </w:r>
    </w:p>
    <w:p w14:paraId="0DF7AC24">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（二）报价所需资料：</w:t>
      </w:r>
      <w:r>
        <w:rPr>
          <w:rFonts w:hint="eastAsia" w:ascii="仿宋_GB2312" w:hAnsi="仿宋_GB2312" w:eastAsia="仿宋_GB2312" w:cs="仿宋_GB2312"/>
          <w:b/>
          <w:bCs/>
          <w:kern w:val="2"/>
          <w:sz w:val="32"/>
          <w:szCs w:val="32"/>
          <w:lang w:val="en-US" w:eastAsia="zh-CN" w:bidi="ar-SA"/>
        </w:rPr>
        <w:t>1.资信证明：</w:t>
      </w:r>
      <w:r>
        <w:rPr>
          <w:rFonts w:hint="eastAsia" w:ascii="仿宋_GB2312" w:hAnsi="仿宋_GB2312" w:eastAsia="仿宋_GB2312" w:cs="仿宋_GB2312"/>
          <w:kern w:val="2"/>
          <w:sz w:val="32"/>
          <w:szCs w:val="32"/>
          <w:lang w:val="zh-CN" w:eastAsia="zh-CN" w:bidi="ar-SA"/>
        </w:rPr>
        <w:t>根据最高人民法院等</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部门《关于在招标投标活动中对失信被执行人实施联合惩戒的通知》</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法〔</w:t>
      </w:r>
      <w:r>
        <w:rPr>
          <w:rFonts w:hint="eastAsia" w:ascii="仿宋_GB2312" w:hAnsi="仿宋_GB2312" w:eastAsia="仿宋_GB2312" w:cs="仿宋_GB2312"/>
          <w:kern w:val="2"/>
          <w:sz w:val="32"/>
          <w:szCs w:val="32"/>
          <w:lang w:val="en-US" w:eastAsia="zh-CN" w:bidi="ar-SA"/>
        </w:rPr>
        <w:t>2016</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285</w:t>
      </w:r>
      <w:r>
        <w:rPr>
          <w:rFonts w:hint="eastAsia" w:ascii="仿宋_GB2312" w:hAnsi="仿宋_GB2312" w:eastAsia="仿宋_GB2312" w:cs="仿宋_GB2312"/>
          <w:kern w:val="2"/>
          <w:sz w:val="32"/>
          <w:szCs w:val="32"/>
          <w:lang w:val="zh-CN" w:eastAsia="zh-CN" w:bidi="ar-SA"/>
        </w:rPr>
        <w:t>号</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规定</w:t>
      </w:r>
      <w:r>
        <w:rPr>
          <w:rFonts w:hint="eastAsia" w:ascii="仿宋_GB2312" w:hAnsi="仿宋_GB2312" w:eastAsia="仿宋_GB2312" w:cs="仿宋_GB2312"/>
          <w:kern w:val="2"/>
          <w:sz w:val="32"/>
          <w:szCs w:val="32"/>
          <w:lang w:val="en-US" w:eastAsia="zh-CN" w:bidi="ar-SA"/>
        </w:rPr>
        <w:t>，报价人</w:t>
      </w:r>
      <w:r>
        <w:rPr>
          <w:rFonts w:hint="eastAsia" w:ascii="仿宋_GB2312" w:hAnsi="仿宋_GB2312" w:eastAsia="仿宋_GB2312" w:cs="仿宋_GB2312"/>
          <w:kern w:val="2"/>
          <w:sz w:val="32"/>
          <w:szCs w:val="32"/>
          <w:lang w:val="zh-CN" w:eastAsia="zh-CN" w:bidi="ar-SA"/>
        </w:rPr>
        <w:t>不得为失信被执行人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以通过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信用中国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网站</w:t>
      </w:r>
      <w:r>
        <w:rPr>
          <w:rFonts w:hint="eastAsia" w:ascii="仿宋_GB2312" w:hAnsi="仿宋_GB2312" w:eastAsia="仿宋_GB2312" w:cs="仿宋_GB2312"/>
          <w:kern w:val="2"/>
          <w:sz w:val="32"/>
          <w:szCs w:val="32"/>
          <w:lang w:val="en-US" w:eastAsia="zh-CN" w:bidi="ar-SA"/>
        </w:rPr>
        <w:t>（www.creditchina.gov.cn）</w:t>
      </w:r>
      <w:r>
        <w:rPr>
          <w:rFonts w:hint="eastAsia" w:ascii="仿宋_GB2312" w:hAnsi="仿宋_GB2312" w:eastAsia="仿宋_GB2312" w:cs="仿宋_GB2312"/>
          <w:kern w:val="2"/>
          <w:sz w:val="32"/>
          <w:szCs w:val="32"/>
          <w:lang w:val="zh-CN" w:eastAsia="zh-CN" w:bidi="ar-SA"/>
        </w:rPr>
        <w:t>查询的结果为准</w:t>
      </w:r>
      <w:r>
        <w:rPr>
          <w:rFonts w:hint="eastAsia" w:ascii="仿宋_GB2312" w:hAnsi="仿宋_GB2312" w:eastAsia="仿宋_GB2312" w:cs="仿宋_GB2312"/>
          <w:kern w:val="2"/>
          <w:sz w:val="32"/>
          <w:szCs w:val="32"/>
          <w:lang w:val="en-US" w:eastAsia="zh-CN" w:bidi="ar-SA"/>
        </w:rPr>
        <w:t>）。</w:t>
      </w:r>
    </w:p>
    <w:p w14:paraId="757BD8E4">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2.营业执照：</w:t>
      </w:r>
      <w:r>
        <w:rPr>
          <w:rFonts w:hint="eastAsia" w:ascii="仿宋_GB2312" w:hAnsi="仿宋_GB2312" w:eastAsia="仿宋_GB2312" w:cs="仿宋_GB2312"/>
          <w:kern w:val="0"/>
          <w:sz w:val="32"/>
          <w:szCs w:val="32"/>
          <w:lang w:val="en-US" w:eastAsia="zh-CN"/>
        </w:rPr>
        <w:t>营业执照</w:t>
      </w:r>
      <w:r>
        <w:rPr>
          <w:rFonts w:hint="eastAsia"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组织机构代码证复印件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税务登记证复印件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每份复印件均需加盖公章（</w:t>
      </w:r>
      <w:r>
        <w:rPr>
          <w:rFonts w:hint="eastAsia" w:ascii="仿宋_GB2312" w:hAnsi="仿宋_GB2312" w:eastAsia="仿宋_GB2312" w:cs="仿宋_GB2312"/>
          <w:kern w:val="0"/>
          <w:sz w:val="32"/>
          <w:szCs w:val="32"/>
        </w:rPr>
        <w:t>已办理“三证合一”的企业只需提供营业执照复印件）</w:t>
      </w:r>
      <w:r>
        <w:rPr>
          <w:rFonts w:hint="eastAsia" w:ascii="仿宋_GB2312" w:hAnsi="仿宋_GB2312" w:eastAsia="仿宋_GB2312" w:cs="仿宋_GB2312"/>
          <w:kern w:val="0"/>
          <w:sz w:val="32"/>
          <w:szCs w:val="32"/>
          <w:lang w:eastAsia="zh-CN"/>
        </w:rPr>
        <w:t>。</w:t>
      </w:r>
    </w:p>
    <w:p w14:paraId="5B872F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val="0"/>
          <w:bCs w:val="0"/>
          <w:kern w:val="0"/>
          <w:sz w:val="32"/>
          <w:szCs w:val="32"/>
          <w:u w:val="single"/>
          <w:lang w:val="en-US" w:eastAsia="zh-CN"/>
        </w:rPr>
      </w:pPr>
      <w:r>
        <w:rPr>
          <w:rFonts w:hint="eastAsia" w:ascii="仿宋_GB2312" w:hAnsi="仿宋_GB2312" w:eastAsia="仿宋_GB2312" w:cs="仿宋_GB2312"/>
          <w:b/>
          <w:bCs/>
          <w:kern w:val="2"/>
          <w:sz w:val="32"/>
          <w:szCs w:val="32"/>
          <w:lang w:val="en-US" w:eastAsia="zh-CN" w:bidi="ar-SA"/>
        </w:rPr>
        <w:t>3.报价表：</w:t>
      </w:r>
      <w:r>
        <w:rPr>
          <w:rFonts w:hint="eastAsia" w:ascii="仿宋_GB2312" w:hAnsi="仿宋_GB2312" w:eastAsia="仿宋_GB2312" w:cs="仿宋_GB2312"/>
          <w:sz w:val="32"/>
          <w:szCs w:val="32"/>
          <w:lang w:val="en-US" w:eastAsia="zh-CN"/>
        </w:rPr>
        <w:t>报价单位须填写邀请单位提供的“南宁市工人文化宫2024年度画册设计制作报价表”参与报价。</w:t>
      </w:r>
      <w:r>
        <w:rPr>
          <w:rFonts w:hint="eastAsia" w:ascii="仿宋_GB2312" w:hAnsi="仿宋_GB2312" w:eastAsia="仿宋_GB2312" w:cs="仿宋_GB2312"/>
          <w:b w:val="0"/>
          <w:bCs w:val="0"/>
          <w:kern w:val="0"/>
          <w:sz w:val="32"/>
          <w:szCs w:val="32"/>
          <w:u w:val="single"/>
          <w:lang w:val="en-US" w:eastAsia="zh-CN"/>
        </w:rPr>
        <w:t>（</w:t>
      </w:r>
      <w:r>
        <w:rPr>
          <w:rFonts w:hint="eastAsia" w:ascii="仿宋_GB2312" w:hAnsi="仿宋_GB2312" w:eastAsia="仿宋_GB2312" w:cs="仿宋_GB2312"/>
          <w:b w:val="0"/>
          <w:bCs w:val="0"/>
          <w:color w:val="auto"/>
          <w:kern w:val="0"/>
          <w:sz w:val="32"/>
          <w:szCs w:val="32"/>
          <w:u w:val="single"/>
          <w:lang w:val="en-US" w:eastAsia="zh-CN"/>
        </w:rPr>
        <w:t>预算总价为</w:t>
      </w:r>
      <w:r>
        <w:rPr>
          <w:rFonts w:hint="eastAsia" w:ascii="仿宋_GB2312" w:hAnsi="仿宋_GB2312" w:eastAsia="仿宋_GB2312" w:cs="仿宋_GB2312"/>
          <w:b w:val="0"/>
          <w:bCs w:val="0"/>
          <w:kern w:val="0"/>
          <w:sz w:val="32"/>
          <w:szCs w:val="32"/>
          <w:u w:val="single"/>
          <w:lang w:val="en-US" w:eastAsia="zh-CN"/>
        </w:rPr>
        <w:t>37900.00元，报价不得超过此金额。）</w:t>
      </w:r>
    </w:p>
    <w:p w14:paraId="03EF2C8D">
      <w:pPr>
        <w:pStyle w:val="14"/>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4.项目介绍：</w:t>
      </w:r>
      <w:r>
        <w:rPr>
          <w:rFonts w:hint="eastAsia" w:ascii="仿宋_GB2312" w:hAnsi="仿宋_GB2312" w:eastAsia="仿宋_GB2312" w:cs="仿宋_GB2312"/>
          <w:kern w:val="0"/>
          <w:sz w:val="32"/>
          <w:szCs w:val="32"/>
          <w:lang w:val="en-US" w:eastAsia="zh-CN"/>
        </w:rPr>
        <w:t>对本次项目布局进行思路阐述，包含但不限于封面页、目录页、章节页、后记页、画面设计、概念叙述、亮点部分等方向的内容。</w:t>
      </w:r>
    </w:p>
    <w:p w14:paraId="5B9E6666">
      <w:pPr>
        <w:pStyle w:val="14"/>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5.委托授权书</w:t>
      </w:r>
      <w:r>
        <w:rPr>
          <w:rFonts w:hint="eastAsia" w:ascii="仿宋_GB2312" w:hAnsi="仿宋_GB2312" w:eastAsia="仿宋_GB2312" w:cs="仿宋_GB2312"/>
          <w:kern w:val="0"/>
          <w:sz w:val="32"/>
          <w:szCs w:val="32"/>
          <w:lang w:val="en-US" w:eastAsia="zh-CN"/>
        </w:rPr>
        <w:t>：报价人与营业执照上名字不符的报价单位须规范填写</w:t>
      </w:r>
      <w:r>
        <w:rPr>
          <w:rFonts w:hint="eastAsia" w:ascii="仿宋_GB2312" w:hAnsi="仿宋_GB2312" w:eastAsia="仿宋_GB2312" w:cs="仿宋_GB2312"/>
          <w:color w:val="auto"/>
          <w:kern w:val="2"/>
          <w:sz w:val="32"/>
          <w:szCs w:val="32"/>
          <w:lang w:val="en-US" w:eastAsia="zh-CN" w:bidi="ar-SA"/>
        </w:rPr>
        <w:t>“委托授权书”，在递交报价文件的同时单独递交，报价文件内提供复印件。</w:t>
      </w:r>
    </w:p>
    <w:p w14:paraId="7BABB7E8">
      <w:pPr>
        <w:pStyle w:val="14"/>
        <w:pageBreakBefore w:val="0"/>
        <w:kinsoku/>
        <w:wordWrap/>
        <w:overflowPunct/>
        <w:topLinePunct w:val="0"/>
        <w:bidi w:val="0"/>
        <w:snapToGrid/>
        <w:spacing w:line="52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6.其他证明材料：</w:t>
      </w:r>
      <w:r>
        <w:rPr>
          <w:rFonts w:hint="eastAsia" w:ascii="仿宋_GB2312" w:hAnsi="仿宋_GB2312" w:eastAsia="仿宋_GB2312" w:cs="仿宋_GB2312"/>
          <w:kern w:val="0"/>
          <w:sz w:val="32"/>
          <w:szCs w:val="32"/>
          <w:lang w:val="en-US" w:eastAsia="zh-CN"/>
        </w:rPr>
        <w:t>包括但不限于公司介绍、过往项目案例等材料。</w:t>
      </w:r>
    </w:p>
    <w:p w14:paraId="2DD5D20A">
      <w:pPr>
        <w:pStyle w:val="14"/>
        <w:pageBreakBefore w:val="0"/>
        <w:kinsoku/>
        <w:wordWrap/>
        <w:overflowPunct/>
        <w:topLinePunct w:val="0"/>
        <w:bidi w:val="0"/>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lang w:val="en-US" w:eastAsia="zh-CN" w:bidi="ar-SA"/>
        </w:rPr>
        <w:t>7.法律、行政法规规定的其他条件。</w:t>
      </w:r>
    </w:p>
    <w:p w14:paraId="25E78E2D">
      <w:pPr>
        <w:pStyle w:val="15"/>
        <w:pageBreakBefore w:val="0"/>
        <w:tabs>
          <w:tab w:val="left" w:pos="993"/>
        </w:tabs>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、报价</w:t>
      </w:r>
      <w:r>
        <w:rPr>
          <w:rFonts w:hint="eastAsia" w:ascii="黑体" w:hAnsi="黑体" w:eastAsia="黑体" w:cs="黑体"/>
          <w:b w:val="0"/>
          <w:bCs/>
          <w:sz w:val="32"/>
          <w:szCs w:val="32"/>
          <w:lang w:val="en-US" w:eastAsia="zh-CN"/>
        </w:rPr>
        <w:t>材料</w:t>
      </w:r>
      <w:r>
        <w:rPr>
          <w:rFonts w:hint="eastAsia" w:ascii="黑体" w:hAnsi="黑体" w:eastAsia="黑体" w:cs="黑体"/>
          <w:b w:val="0"/>
          <w:bCs/>
          <w:kern w:val="0"/>
          <w:sz w:val="32"/>
          <w:szCs w:val="32"/>
          <w:lang w:val="en-US" w:eastAsia="zh-CN" w:bidi="ar-SA"/>
        </w:rPr>
        <w:t>递交截止时间及地点、方式</w:t>
      </w:r>
    </w:p>
    <w:p w14:paraId="5B3C0F67">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1.报价文件递交</w:t>
      </w:r>
      <w:r>
        <w:rPr>
          <w:rFonts w:hint="eastAsia" w:ascii="仿宋_GB2312" w:hAnsi="仿宋_GB2312" w:eastAsia="仿宋_GB2312" w:cs="仿宋_GB2312"/>
          <w:sz w:val="32"/>
          <w:szCs w:val="32"/>
          <w:lang w:val="en-US" w:eastAsia="zh-CN"/>
        </w:rPr>
        <w:t>截止时间：</w:t>
      </w:r>
      <w:r>
        <w:rPr>
          <w:rFonts w:hint="eastAsia" w:ascii="仿宋_GB2312" w:hAnsi="仿宋_GB2312" w:eastAsia="仿宋_GB2312" w:cs="仿宋_GB2312"/>
          <w:color w:val="auto"/>
          <w:sz w:val="32"/>
          <w:szCs w:val="32"/>
          <w:lang w:val="en-US" w:eastAsia="zh-CN"/>
        </w:rPr>
        <w:t>2025年3月12日17时。</w:t>
      </w:r>
    </w:p>
    <w:p w14:paraId="350FF43E">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color w:val="auto"/>
          <w:spacing w:val="-6"/>
          <w:kern w:val="0"/>
          <w:sz w:val="32"/>
          <w:szCs w:val="32"/>
          <w:lang w:val="en-US" w:eastAsia="zh-CN"/>
        </w:rPr>
        <w:t>递交地点：广西壮族自治区南宁市兴宁区民主路20号南宁市工人文化宫综合楼8楼813室对外交流科。</w:t>
      </w:r>
    </w:p>
    <w:p w14:paraId="3EBE430A">
      <w:pPr>
        <w:pageBreakBefore w:val="0"/>
        <w:kinsoku/>
        <w:wordWrap/>
        <w:overflowPunct/>
        <w:topLinePunct w:val="0"/>
        <w:autoSpaceDE/>
        <w:autoSpaceDN/>
        <w:bidi w:val="0"/>
        <w:adjustRightInd/>
        <w:snapToGrid/>
        <w:spacing w:line="520" w:lineRule="exact"/>
        <w:ind w:left="0" w:leftChars="0" w:firstLine="616" w:firstLineChars="200"/>
        <w:textAlignment w:val="auto"/>
        <w:rPr>
          <w:rFonts w:hint="default"/>
          <w:lang w:val="en-US" w:eastAsia="zh-CN"/>
        </w:rPr>
      </w:pPr>
      <w:r>
        <w:rPr>
          <w:rFonts w:hint="eastAsia" w:ascii="仿宋_GB2312" w:hAnsi="仿宋_GB2312" w:eastAsia="仿宋_GB2312" w:cs="仿宋_GB2312"/>
          <w:spacing w:val="-6"/>
          <w:kern w:val="0"/>
          <w:sz w:val="32"/>
          <w:szCs w:val="32"/>
          <w:lang w:val="en-US" w:eastAsia="zh-CN"/>
        </w:rPr>
        <w:t>3.递交方式：报价文件应于规定的截止时间前密封送达或邮寄至邀请单位，不接受电报、电话等其他方式。</w:t>
      </w:r>
    </w:p>
    <w:p w14:paraId="085C275C">
      <w:pPr>
        <w:pStyle w:val="14"/>
        <w:pageBreakBefore w:val="0"/>
        <w:kinsoku/>
        <w:wordWrap/>
        <w:overflowPunct/>
        <w:topLinePunct w:val="0"/>
        <w:bidi w:val="0"/>
        <w:snapToGrid/>
        <w:spacing w:line="52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4.报价文件份数：纸质版共</w:t>
      </w:r>
      <w:r>
        <w:rPr>
          <w:rFonts w:hint="eastAsia" w:ascii="仿宋_GB2312" w:hAnsi="仿宋_GB2312" w:eastAsia="仿宋_GB2312" w:cs="仿宋_GB2312"/>
          <w:spacing w:val="-6"/>
          <w:kern w:val="0"/>
          <w:sz w:val="32"/>
          <w:szCs w:val="32"/>
          <w:u w:val="single"/>
          <w:lang w:val="en-US" w:eastAsia="zh-CN"/>
        </w:rPr>
        <w:t xml:space="preserve"> 3 </w:t>
      </w:r>
      <w:r>
        <w:rPr>
          <w:rFonts w:hint="eastAsia" w:ascii="仿宋_GB2312" w:hAnsi="仿宋_GB2312" w:eastAsia="仿宋_GB2312" w:cs="仿宋_GB2312"/>
          <w:spacing w:val="-6"/>
          <w:kern w:val="0"/>
          <w:sz w:val="32"/>
          <w:szCs w:val="32"/>
          <w:lang w:val="en-US" w:eastAsia="zh-CN"/>
        </w:rPr>
        <w:t>份：其中正本</w:t>
      </w:r>
      <w:r>
        <w:rPr>
          <w:rFonts w:hint="eastAsia" w:ascii="仿宋_GB2312" w:hAnsi="仿宋_GB2312" w:eastAsia="仿宋_GB2312" w:cs="仿宋_GB2312"/>
          <w:spacing w:val="-6"/>
          <w:kern w:val="0"/>
          <w:sz w:val="32"/>
          <w:szCs w:val="32"/>
          <w:u w:val="single"/>
          <w:lang w:val="en-US" w:eastAsia="zh-CN"/>
        </w:rPr>
        <w:t xml:space="preserve"> 1 </w:t>
      </w:r>
      <w:r>
        <w:rPr>
          <w:rFonts w:hint="eastAsia" w:ascii="仿宋_GB2312" w:hAnsi="仿宋_GB2312" w:eastAsia="仿宋_GB2312" w:cs="仿宋_GB2312"/>
          <w:spacing w:val="-6"/>
          <w:kern w:val="0"/>
          <w:sz w:val="32"/>
          <w:szCs w:val="32"/>
          <w:lang w:val="en-US" w:eastAsia="zh-CN"/>
        </w:rPr>
        <w:t>份，复印件</w:t>
      </w:r>
      <w:r>
        <w:rPr>
          <w:rFonts w:hint="eastAsia" w:ascii="仿宋_GB2312" w:hAnsi="仿宋_GB2312" w:eastAsia="仿宋_GB2312" w:cs="仿宋_GB2312"/>
          <w:spacing w:val="-6"/>
          <w:kern w:val="0"/>
          <w:sz w:val="32"/>
          <w:szCs w:val="32"/>
          <w:u w:val="single"/>
          <w:lang w:val="en-US" w:eastAsia="zh-CN"/>
        </w:rPr>
        <w:t xml:space="preserve"> 2 </w:t>
      </w:r>
      <w:r>
        <w:rPr>
          <w:rFonts w:hint="eastAsia" w:ascii="仿宋_GB2312" w:hAnsi="仿宋_GB2312" w:eastAsia="仿宋_GB2312" w:cs="仿宋_GB2312"/>
          <w:spacing w:val="-6"/>
          <w:kern w:val="0"/>
          <w:sz w:val="32"/>
          <w:szCs w:val="32"/>
          <w:lang w:val="en-US" w:eastAsia="zh-CN"/>
        </w:rPr>
        <w:t>份。</w:t>
      </w:r>
    </w:p>
    <w:p w14:paraId="5645C08F">
      <w:pPr>
        <w:keepNext/>
        <w:keepLines/>
        <w:pageBreakBefore w:val="0"/>
        <w:kinsoku/>
        <w:wordWrap/>
        <w:overflowPunct/>
        <w:topLinePunct w:val="0"/>
        <w:autoSpaceDE/>
        <w:autoSpaceDN/>
        <w:bidi w:val="0"/>
        <w:adjustRightInd/>
        <w:snapToGrid/>
        <w:spacing w:line="520" w:lineRule="exact"/>
        <w:ind w:left="0" w:leftChars="0"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联系方式</w:t>
      </w:r>
    </w:p>
    <w:p w14:paraId="35118CD0">
      <w:pPr>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val="en-US" w:eastAsia="zh-CN"/>
        </w:rPr>
        <w:t>王真</w:t>
      </w:r>
    </w:p>
    <w:p w14:paraId="53774CCB">
      <w:pPr>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电  话：</w:t>
      </w:r>
      <w:r>
        <w:rPr>
          <w:rFonts w:hint="eastAsia" w:ascii="仿宋_GB2312" w:hAnsi="仿宋_GB2312" w:eastAsia="仿宋_GB2312" w:cs="仿宋_GB2312"/>
          <w:kern w:val="0"/>
          <w:sz w:val="32"/>
          <w:szCs w:val="32"/>
          <w:lang w:val="en-US" w:eastAsia="zh-CN"/>
        </w:rPr>
        <w:t>0771-2637345</w:t>
      </w:r>
    </w:p>
    <w:p w14:paraId="37C2E2C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6"/>
          <w:rFonts w:ascii="宋体" w:hAnsi="宋体" w:eastAsia="宋体" w:cs="宋体"/>
          <w:sz w:val="24"/>
        </w:rPr>
      </w:pPr>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、本</w:t>
      </w:r>
      <w:r>
        <w:rPr>
          <w:rFonts w:hint="eastAsia" w:ascii="黑体" w:hAnsi="黑体" w:eastAsia="黑体" w:cs="黑体"/>
          <w:bCs/>
          <w:kern w:val="0"/>
          <w:sz w:val="32"/>
          <w:szCs w:val="32"/>
          <w:lang w:val="en-US" w:eastAsia="zh-CN"/>
        </w:rPr>
        <w:t>邀</w:t>
      </w:r>
      <w:r>
        <w:rPr>
          <w:rStyle w:val="16"/>
          <w:rFonts w:hint="eastAsia" w:ascii="黑体" w:hAnsi="黑体" w:eastAsia="黑体" w:cs="黑体"/>
          <w:bCs/>
          <w:sz w:val="32"/>
          <w:szCs w:val="32"/>
          <w:lang w:val="en-US" w:eastAsia="zh-CN"/>
        </w:rPr>
        <w:t>请函</w:t>
      </w:r>
      <w:r>
        <w:rPr>
          <w:rStyle w:val="16"/>
          <w:rFonts w:hint="eastAsia" w:ascii="黑体" w:hAnsi="黑体" w:eastAsia="黑体" w:cs="黑体"/>
          <w:bCs/>
          <w:sz w:val="32"/>
          <w:szCs w:val="32"/>
        </w:rPr>
        <w:t>解释权归</w:t>
      </w:r>
      <w:r>
        <w:rPr>
          <w:rStyle w:val="16"/>
          <w:rFonts w:hint="eastAsia" w:ascii="黑体" w:hAnsi="黑体" w:eastAsia="黑体" w:cs="黑体"/>
          <w:sz w:val="32"/>
          <w:szCs w:val="32"/>
        </w:rPr>
        <w:t>南宁市</w:t>
      </w:r>
      <w:r>
        <w:rPr>
          <w:rStyle w:val="16"/>
          <w:rFonts w:hint="eastAsia" w:ascii="黑体" w:hAnsi="黑体" w:eastAsia="黑体" w:cs="黑体"/>
          <w:sz w:val="32"/>
          <w:szCs w:val="32"/>
          <w:lang w:val="en-US" w:eastAsia="zh-CN"/>
        </w:rPr>
        <w:t>工人文化宫</w:t>
      </w:r>
    </w:p>
    <w:p w14:paraId="5F8B31A9">
      <w:pPr>
        <w:pStyle w:val="8"/>
        <w:pageBreakBefore w:val="0"/>
        <w:kinsoku/>
        <w:wordWrap/>
        <w:overflowPunct/>
        <w:topLinePunct w:val="0"/>
        <w:bidi w:val="0"/>
        <w:snapToGrid/>
        <w:spacing w:line="520" w:lineRule="exact"/>
        <w:textAlignment w:val="auto"/>
        <w:rPr>
          <w:rFonts w:hint="eastAsia" w:ascii="仿宋_GB2312" w:hAnsi="仿宋_GB2312" w:eastAsia="仿宋_GB2312" w:cs="仿宋_GB2312"/>
          <w:sz w:val="32"/>
          <w:szCs w:val="32"/>
          <w:lang w:val="en-US" w:eastAsia="zh-CN"/>
        </w:rPr>
      </w:pPr>
    </w:p>
    <w:p w14:paraId="38ED4D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附件：1.南宁市工人文化宫2024年度画册设计制作报价表</w:t>
      </w:r>
    </w:p>
    <w:p w14:paraId="4BCC53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hanging="320" w:hangingChars="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2.南宁市工人文化宫2024年度画册设计制作项目评分标准</w:t>
      </w:r>
    </w:p>
    <w:p w14:paraId="62BF0A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1600" w:firstLineChars="5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3.委托授权书</w:t>
      </w:r>
    </w:p>
    <w:p w14:paraId="12722F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1600" w:firstLineChars="500"/>
        <w:jc w:val="left"/>
        <w:textAlignment w:val="auto"/>
        <w:rPr>
          <w:rFonts w:hint="default" w:ascii="仿宋_GB2312" w:hAnsi="仿宋_GB2312" w:eastAsia="仿宋_GB2312" w:cs="仿宋_GB2312"/>
          <w:color w:val="auto"/>
          <w:kern w:val="2"/>
          <w:sz w:val="32"/>
          <w:szCs w:val="32"/>
          <w:lang w:val="en-US" w:eastAsia="zh-CN" w:bidi="ar-SA"/>
        </w:rPr>
      </w:pPr>
    </w:p>
    <w:p w14:paraId="11228228">
      <w:pPr>
        <w:pStyle w:val="2"/>
        <w:pageBreakBefore w:val="0"/>
        <w:kinsoku/>
        <w:wordWrap/>
        <w:overflowPunct/>
        <w:topLinePunct w:val="0"/>
        <w:bidi w:val="0"/>
        <w:snapToGrid/>
        <w:spacing w:line="520" w:lineRule="exact"/>
        <w:textAlignment w:val="auto"/>
        <w:rPr>
          <w:rFonts w:hint="eastAsia"/>
          <w:sz w:val="32"/>
          <w:szCs w:val="32"/>
        </w:rPr>
      </w:pPr>
    </w:p>
    <w:p w14:paraId="0B788E4B">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南宁市工人文化宫</w:t>
      </w:r>
    </w:p>
    <w:p w14:paraId="609C4C1A">
      <w:pPr>
        <w:pageBreakBefore w:val="0"/>
        <w:widowControl/>
        <w:shd w:val="clear" w:color="auto" w:fill="FFFFFF"/>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000000"/>
          <w:kern w:val="0"/>
          <w:sz w:val="32"/>
          <w:szCs w:val="32"/>
          <w:lang w:val="en-US" w:eastAsia="zh-CN"/>
        </w:rPr>
        <w:t>2025</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月</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日</w:t>
      </w:r>
    </w:p>
    <w:p w14:paraId="6B167C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6" w:firstLineChars="200"/>
        <w:jc w:val="left"/>
        <w:textAlignment w:val="auto"/>
        <w:rPr>
          <w:rFonts w:hint="eastAsia" w:ascii="仿宋_GB2312" w:hAnsi="仿宋_GB2312" w:eastAsia="仿宋_GB2312" w:cs="仿宋_GB2312"/>
          <w:color w:val="000000"/>
          <w:spacing w:val="-6"/>
          <w:kern w:val="0"/>
          <w:sz w:val="32"/>
          <w:szCs w:val="32"/>
          <w:lang w:val="en-US" w:eastAsia="zh-CN" w:bidi="ar-SA"/>
        </w:rPr>
      </w:pPr>
      <w:r>
        <w:rPr>
          <w:rFonts w:hint="eastAsia" w:ascii="仿宋_GB2312" w:hAnsi="仿宋_GB2312" w:eastAsia="仿宋_GB2312" w:cs="仿宋_GB2312"/>
          <w:color w:val="000000"/>
          <w:spacing w:val="-6"/>
          <w:kern w:val="0"/>
          <w:sz w:val="32"/>
          <w:szCs w:val="32"/>
          <w:lang w:val="en-US" w:eastAsia="zh-CN" w:bidi="ar-SA"/>
        </w:rPr>
        <w:t>（此件公开发布）</w:t>
      </w:r>
    </w:p>
    <w:p w14:paraId="7B92AE28">
      <w:pPr>
        <w:pStyle w:val="5"/>
        <w:rPr>
          <w:rFonts w:hint="eastAsia" w:ascii="黑体" w:hAnsi="黑体" w:eastAsia="黑体" w:cs="黑体"/>
          <w:sz w:val="32"/>
          <w:szCs w:val="32"/>
          <w:lang w:val="en-US" w:eastAsia="zh-CN"/>
        </w:rPr>
      </w:pPr>
    </w:p>
    <w:p w14:paraId="28F460F7">
      <w:pPr>
        <w:rPr>
          <w:rFonts w:hint="eastAsia" w:ascii="黑体" w:hAnsi="黑体" w:eastAsia="黑体" w:cs="黑体"/>
          <w:sz w:val="32"/>
          <w:szCs w:val="32"/>
          <w:lang w:val="en-US" w:eastAsia="zh-CN"/>
        </w:rPr>
      </w:pPr>
    </w:p>
    <w:p w14:paraId="61452BA5">
      <w:pPr>
        <w:pStyle w:val="5"/>
        <w:rPr>
          <w:rFonts w:hint="eastAsia" w:ascii="黑体" w:hAnsi="黑体" w:eastAsia="黑体" w:cs="黑体"/>
          <w:sz w:val="32"/>
          <w:szCs w:val="32"/>
          <w:lang w:val="en-US" w:eastAsia="zh-CN"/>
        </w:rPr>
      </w:pPr>
    </w:p>
    <w:p w14:paraId="5497D3C6">
      <w:pPr>
        <w:pStyle w:val="5"/>
        <w:rPr>
          <w:rFonts w:hint="eastAsia" w:ascii="黑体" w:hAnsi="黑体" w:eastAsia="黑体" w:cs="黑体"/>
          <w:sz w:val="32"/>
          <w:szCs w:val="32"/>
          <w:lang w:val="en-US" w:eastAsia="zh-CN"/>
        </w:rPr>
      </w:pPr>
    </w:p>
    <w:p w14:paraId="4D6DB678">
      <w:pPr>
        <w:rPr>
          <w:rFonts w:hint="eastAsia"/>
          <w:lang w:val="en-US" w:eastAsia="zh-CN"/>
        </w:rPr>
      </w:pPr>
    </w:p>
    <w:p w14:paraId="0725A130">
      <w:pPr>
        <w:pBdr>
          <w:top w:val="single" w:color="auto" w:sz="6" w:space="1"/>
          <w:bottom w:val="single" w:color="auto" w:sz="6" w:space="0"/>
        </w:pBdr>
        <w:autoSpaceDE w:val="0"/>
        <w:autoSpaceDN w:val="0"/>
        <w:adjustRightInd w:val="0"/>
        <w:ind w:firstLine="150" w:firstLineChars="50"/>
        <w:jc w:val="left"/>
        <w:rPr>
          <w:rFonts w:hint="eastAsia" w:ascii="仿宋_GB2312" w:hAnsi="仿宋_GB2312" w:eastAsia="仿宋_GB2312" w:cs="仿宋_GB2312"/>
          <w:color w:val="auto"/>
          <w:sz w:val="32"/>
          <w:szCs w:val="32"/>
          <w:lang w:val="en-US" w:eastAsia="zh-CN"/>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color w:val="000000"/>
          <w:kern w:val="0"/>
          <w:sz w:val="30"/>
          <w:szCs w:val="30"/>
        </w:rPr>
        <w:t>南宁市工人文化宫</w:t>
      </w:r>
      <w:r>
        <w:rPr>
          <w:rFonts w:hint="eastAsia" w:ascii="仿宋_GB2312" w:hAnsi="仿宋_GB2312" w:eastAsia="仿宋_GB2312" w:cs="仿宋_GB2312"/>
          <w:color w:val="000000"/>
          <w:kern w:val="0"/>
          <w:sz w:val="30"/>
          <w:szCs w:val="30"/>
          <w:lang w:eastAsia="zh-CN"/>
        </w:rPr>
        <w:t>办公室</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20</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10</w:t>
      </w:r>
      <w:r>
        <w:rPr>
          <w:rFonts w:hint="eastAsia" w:ascii="仿宋_GB2312" w:hAnsi="仿宋_GB2312" w:eastAsia="仿宋_GB2312" w:cs="仿宋_GB2312"/>
          <w:color w:val="000000"/>
          <w:kern w:val="0"/>
          <w:sz w:val="30"/>
          <w:szCs w:val="30"/>
        </w:rPr>
        <w:t>日印</w:t>
      </w:r>
      <w:r>
        <w:rPr>
          <w:rFonts w:hint="eastAsia" w:ascii="仿宋_GB2312" w:hAnsi="仿宋_GB2312" w:eastAsia="仿宋_GB2312" w:cs="仿宋_GB2312"/>
          <w:color w:val="000000"/>
          <w:kern w:val="0"/>
          <w:sz w:val="30"/>
          <w:szCs w:val="30"/>
          <w:lang w:eastAsia="zh-CN"/>
        </w:rPr>
        <w:t>发</w:t>
      </w:r>
    </w:p>
    <w:p w14:paraId="4B9D203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C40A7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6C8C9B1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南宁市工人文化宫2024年度画册设计制作报价表</w:t>
      </w:r>
    </w:p>
    <w:tbl>
      <w:tblPr>
        <w:tblStyle w:val="9"/>
        <w:tblpPr w:leftFromText="180" w:rightFromText="180" w:vertAnchor="text" w:horzAnchor="page" w:tblpXSpec="center" w:tblpY="724"/>
        <w:tblOverlap w:val="never"/>
        <w:tblW w:w="140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392"/>
        <w:gridCol w:w="1745"/>
        <w:gridCol w:w="2114"/>
        <w:gridCol w:w="1447"/>
        <w:gridCol w:w="1962"/>
        <w:gridCol w:w="1159"/>
        <w:gridCol w:w="1159"/>
        <w:gridCol w:w="1132"/>
        <w:gridCol w:w="1123"/>
      </w:tblGrid>
      <w:tr w14:paraId="5C9DF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535" w:type="dxa"/>
            <w:gridSpan w:val="5"/>
            <w:tcBorders>
              <w:bottom w:val="single" w:color="auto" w:sz="4" w:space="0"/>
              <w:right w:val="single" w:color="auto" w:sz="4" w:space="0"/>
            </w:tcBorders>
            <w:shd w:val="clear" w:color="auto" w:fill="auto"/>
            <w:vAlign w:val="center"/>
          </w:tcPr>
          <w:p w14:paraId="62580E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cstheme="minorEastAsia"/>
                <w:b/>
                <w:bCs/>
                <w:color w:val="000000"/>
                <w:sz w:val="28"/>
                <w:szCs w:val="28"/>
                <w:lang w:val="en-US" w:eastAsia="zh-CN"/>
              </w:rPr>
              <w:t>报价单位（盖章）：</w:t>
            </w:r>
          </w:p>
        </w:tc>
        <w:tc>
          <w:tcPr>
            <w:tcW w:w="6535" w:type="dxa"/>
            <w:gridSpan w:val="5"/>
            <w:tcBorders>
              <w:left w:val="single" w:color="auto" w:sz="4" w:space="0"/>
              <w:bottom w:val="single" w:color="auto" w:sz="4" w:space="0"/>
            </w:tcBorders>
            <w:shd w:val="clear" w:color="auto" w:fill="auto"/>
            <w:vAlign w:val="center"/>
          </w:tcPr>
          <w:p w14:paraId="4FBA86B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填表人：</w:t>
            </w:r>
          </w:p>
        </w:tc>
      </w:tr>
      <w:tr w14:paraId="1E887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535" w:type="dxa"/>
            <w:gridSpan w:val="5"/>
            <w:tcBorders>
              <w:top w:val="single" w:color="auto" w:sz="4" w:space="0"/>
              <w:bottom w:val="single" w:color="auto" w:sz="4" w:space="0"/>
              <w:right w:val="single" w:color="auto" w:sz="4" w:space="0"/>
            </w:tcBorders>
            <w:shd w:val="clear" w:color="auto" w:fill="auto"/>
            <w:vAlign w:val="center"/>
          </w:tcPr>
          <w:p w14:paraId="15D2363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cstheme="minorEastAsia"/>
                <w:b/>
                <w:bCs/>
                <w:color w:val="000000"/>
                <w:sz w:val="28"/>
                <w:szCs w:val="28"/>
                <w:lang w:val="en-US" w:eastAsia="zh-CN"/>
              </w:rPr>
              <w:t>地址：</w:t>
            </w:r>
          </w:p>
        </w:tc>
        <w:tc>
          <w:tcPr>
            <w:tcW w:w="6535" w:type="dxa"/>
            <w:gridSpan w:val="5"/>
            <w:tcBorders>
              <w:top w:val="single" w:color="auto" w:sz="4" w:space="0"/>
              <w:left w:val="single" w:color="auto" w:sz="4" w:space="0"/>
              <w:bottom w:val="single" w:color="auto" w:sz="4" w:space="0"/>
            </w:tcBorders>
            <w:shd w:val="clear" w:color="auto" w:fill="auto"/>
            <w:vAlign w:val="center"/>
          </w:tcPr>
          <w:p w14:paraId="459B03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联系电话</w:t>
            </w:r>
            <w:r>
              <w:rPr>
                <w:rFonts w:hint="eastAsia" w:asciiTheme="minorEastAsia" w:hAnsiTheme="minorEastAsia" w:cstheme="minorEastAsia"/>
                <w:b/>
                <w:bCs/>
                <w:color w:val="000000"/>
                <w:sz w:val="28"/>
                <w:szCs w:val="28"/>
                <w:lang w:val="en-US" w:eastAsia="zh-CN"/>
              </w:rPr>
              <w:t>：</w:t>
            </w:r>
          </w:p>
        </w:tc>
      </w:tr>
      <w:tr w14:paraId="5148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37" w:type="dxa"/>
            <w:tcBorders>
              <w:top w:val="single" w:color="auto" w:sz="4" w:space="0"/>
              <w:bottom w:val="single" w:color="auto" w:sz="4" w:space="0"/>
              <w:right w:val="single" w:color="auto" w:sz="4" w:space="0"/>
            </w:tcBorders>
            <w:shd w:val="clear" w:color="auto" w:fill="auto"/>
            <w:vAlign w:val="center"/>
          </w:tcPr>
          <w:p w14:paraId="73ECC3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序号</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6E9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事项名称</w:t>
            </w: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512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具体内容</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F7A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规格</w:t>
            </w:r>
          </w:p>
        </w:tc>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50D6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材质（工艺）</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796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数量</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682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sz w:val="28"/>
                <w:szCs w:val="28"/>
                <w:lang w:val="en-US" w:eastAsia="zh-CN"/>
              </w:rPr>
              <w:t>单价</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890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小计</w:t>
            </w:r>
          </w:p>
        </w:tc>
        <w:tc>
          <w:tcPr>
            <w:tcW w:w="1123" w:type="dxa"/>
            <w:tcBorders>
              <w:top w:val="single" w:color="auto" w:sz="4" w:space="0"/>
              <w:left w:val="single" w:color="auto" w:sz="4" w:space="0"/>
              <w:bottom w:val="single" w:color="auto" w:sz="4" w:space="0"/>
            </w:tcBorders>
            <w:shd w:val="clear" w:color="auto" w:fill="auto"/>
            <w:noWrap/>
            <w:vAlign w:val="center"/>
          </w:tcPr>
          <w:p w14:paraId="5E1FEC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备注</w:t>
            </w:r>
          </w:p>
        </w:tc>
      </w:tr>
      <w:tr w14:paraId="6191C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7" w:type="dxa"/>
            <w:vMerge w:val="restart"/>
            <w:tcBorders>
              <w:top w:val="single" w:color="auto" w:sz="4" w:space="0"/>
              <w:right w:val="single" w:color="auto" w:sz="4" w:space="0"/>
            </w:tcBorders>
            <w:shd w:val="clear" w:color="auto" w:fill="auto"/>
            <w:vAlign w:val="center"/>
          </w:tcPr>
          <w:p w14:paraId="05781F5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w:t>
            </w:r>
          </w:p>
        </w:tc>
        <w:tc>
          <w:tcPr>
            <w:tcW w:w="1392" w:type="dxa"/>
            <w:vMerge w:val="restart"/>
            <w:tcBorders>
              <w:top w:val="single" w:color="auto" w:sz="4" w:space="0"/>
              <w:left w:val="single" w:color="auto" w:sz="4" w:space="0"/>
              <w:right w:val="single" w:color="auto" w:sz="4" w:space="0"/>
            </w:tcBorders>
            <w:shd w:val="clear" w:color="auto" w:fill="auto"/>
            <w:vAlign w:val="center"/>
          </w:tcPr>
          <w:p w14:paraId="2D94822B">
            <w:pPr>
              <w:keepNext w:val="0"/>
              <w:keepLines w:val="0"/>
              <w:pageBreakBefore w:val="0"/>
              <w:kinsoku/>
              <w:wordWrap/>
              <w:overflowPunct/>
              <w:topLinePunct w:val="0"/>
              <w:autoSpaceDE/>
              <w:autoSpaceDN/>
              <w:bidi w:val="0"/>
              <w:adjustRightInd/>
              <w:snapToGrid/>
              <w:spacing w:line="400" w:lineRule="exact"/>
              <w:jc w:val="center"/>
              <w:rPr>
                <w:rFonts w:hint="default"/>
                <w:sz w:val="28"/>
                <w:szCs w:val="28"/>
                <w:lang w:val="en-US" w:eastAsia="zh-CN"/>
              </w:rPr>
            </w:pPr>
            <w:r>
              <w:rPr>
                <w:rFonts w:hint="eastAsia" w:ascii="仿宋_GB2312" w:hAnsi="仿宋_GB2312" w:eastAsia="仿宋_GB2312" w:cs="仿宋_GB2312"/>
                <w:b/>
                <w:bCs/>
                <w:color w:val="000000"/>
                <w:sz w:val="28"/>
                <w:szCs w:val="28"/>
                <w:lang w:val="en-US" w:eastAsia="zh-CN"/>
              </w:rPr>
              <w:t>画册设计</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1F0EDDB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封面封底</w:t>
            </w:r>
          </w:p>
        </w:tc>
        <w:tc>
          <w:tcPr>
            <w:tcW w:w="2114" w:type="dxa"/>
            <w:vMerge w:val="restart"/>
            <w:tcBorders>
              <w:top w:val="single" w:color="auto" w:sz="4" w:space="0"/>
              <w:left w:val="single" w:color="auto" w:sz="4" w:space="0"/>
              <w:right w:val="single" w:color="auto" w:sz="4" w:space="0"/>
            </w:tcBorders>
            <w:shd w:val="clear" w:color="auto" w:fill="auto"/>
            <w:noWrap/>
            <w:vAlign w:val="center"/>
          </w:tcPr>
          <w:p w14:paraId="217988D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i w:val="0"/>
                <w:iCs w:val="0"/>
                <w:caps w:val="0"/>
                <w:spacing w:val="0"/>
                <w:sz w:val="28"/>
                <w:szCs w:val="28"/>
                <w:shd w:val="clear" w:fill="FFFFFF"/>
              </w:rPr>
              <w:t>210mm×2</w:t>
            </w:r>
            <w:r>
              <w:rPr>
                <w:rFonts w:hint="eastAsia" w:ascii="仿宋_GB2312" w:hAnsi="仿宋_GB2312" w:eastAsia="仿宋_GB2312" w:cs="仿宋_GB2312"/>
                <w:i w:val="0"/>
                <w:iCs w:val="0"/>
                <w:caps w:val="0"/>
                <w:spacing w:val="0"/>
                <w:sz w:val="28"/>
                <w:szCs w:val="28"/>
                <w:shd w:val="clear" w:fill="FFFFFF"/>
                <w:lang w:val="en-US" w:eastAsia="zh-CN"/>
              </w:rPr>
              <w:t>97</w:t>
            </w:r>
            <w:r>
              <w:rPr>
                <w:rFonts w:hint="eastAsia" w:ascii="仿宋_GB2312" w:hAnsi="仿宋_GB2312" w:eastAsia="仿宋_GB2312" w:cs="仿宋_GB2312"/>
                <w:i w:val="0"/>
                <w:iCs w:val="0"/>
                <w:caps w:val="0"/>
                <w:spacing w:val="0"/>
                <w:sz w:val="28"/>
                <w:szCs w:val="28"/>
                <w:shd w:val="clear" w:fill="FFFFFF"/>
              </w:rPr>
              <w:t>mm</w:t>
            </w:r>
          </w:p>
        </w:tc>
        <w:tc>
          <w:tcPr>
            <w:tcW w:w="3409" w:type="dxa"/>
            <w:gridSpan w:val="2"/>
            <w:vMerge w:val="restart"/>
            <w:tcBorders>
              <w:top w:val="single" w:color="auto" w:sz="4" w:space="0"/>
              <w:left w:val="single" w:color="auto" w:sz="4" w:space="0"/>
              <w:right w:val="single" w:color="auto" w:sz="4" w:space="0"/>
            </w:tcBorders>
            <w:shd w:val="clear" w:color="auto" w:fill="auto"/>
            <w:noWrap/>
            <w:vAlign w:val="center"/>
          </w:tcPr>
          <w:p w14:paraId="5D481D45">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采用Adobe Illustrator矢量图设计软件或 CorelDRAW专业图形设计软件</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99D63">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55F96">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98774">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23" w:type="dxa"/>
            <w:tcBorders>
              <w:top w:val="single" w:color="auto" w:sz="4" w:space="0"/>
              <w:left w:val="single" w:color="auto" w:sz="4" w:space="0"/>
              <w:bottom w:val="single" w:color="auto" w:sz="4" w:space="0"/>
            </w:tcBorders>
            <w:shd w:val="clear" w:color="auto" w:fill="auto"/>
            <w:vAlign w:val="center"/>
          </w:tcPr>
          <w:p w14:paraId="5272526E">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r>
      <w:tr w14:paraId="127C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7" w:type="dxa"/>
            <w:vMerge w:val="continue"/>
            <w:tcBorders>
              <w:right w:val="single" w:color="auto" w:sz="4" w:space="0"/>
            </w:tcBorders>
            <w:shd w:val="clear" w:color="auto" w:fill="auto"/>
            <w:vAlign w:val="center"/>
          </w:tcPr>
          <w:p w14:paraId="4D232C9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c>
          <w:tcPr>
            <w:tcW w:w="1392" w:type="dxa"/>
            <w:vMerge w:val="continue"/>
            <w:tcBorders>
              <w:left w:val="single" w:color="auto" w:sz="4" w:space="0"/>
              <w:right w:val="single" w:color="auto" w:sz="4" w:space="0"/>
            </w:tcBorders>
            <w:shd w:val="clear" w:color="auto" w:fill="auto"/>
            <w:vAlign w:val="center"/>
          </w:tcPr>
          <w:p w14:paraId="1052999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46B5D3C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章节页</w:t>
            </w:r>
          </w:p>
        </w:tc>
        <w:tc>
          <w:tcPr>
            <w:tcW w:w="2114" w:type="dxa"/>
            <w:vMerge w:val="continue"/>
            <w:tcBorders>
              <w:left w:val="single" w:color="auto" w:sz="4" w:space="0"/>
              <w:right w:val="single" w:color="auto" w:sz="4" w:space="0"/>
            </w:tcBorders>
            <w:shd w:val="clear" w:color="auto" w:fill="auto"/>
            <w:noWrap/>
            <w:vAlign w:val="center"/>
          </w:tcPr>
          <w:p w14:paraId="225368A7">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rPr>
            </w:pPr>
          </w:p>
        </w:tc>
        <w:tc>
          <w:tcPr>
            <w:tcW w:w="3409" w:type="dxa"/>
            <w:gridSpan w:val="2"/>
            <w:vMerge w:val="continue"/>
            <w:tcBorders>
              <w:left w:val="single" w:color="auto" w:sz="4" w:space="0"/>
              <w:right w:val="single" w:color="auto" w:sz="4" w:space="0"/>
            </w:tcBorders>
            <w:shd w:val="clear" w:color="auto" w:fill="auto"/>
            <w:noWrap/>
            <w:vAlign w:val="center"/>
          </w:tcPr>
          <w:p w14:paraId="22950C2C">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95660">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10页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6A04">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45E2C">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23" w:type="dxa"/>
            <w:tcBorders>
              <w:top w:val="single" w:color="auto" w:sz="4" w:space="0"/>
              <w:left w:val="single" w:color="auto" w:sz="4" w:space="0"/>
              <w:bottom w:val="single" w:color="auto" w:sz="4" w:space="0"/>
            </w:tcBorders>
            <w:shd w:val="clear" w:color="auto" w:fill="auto"/>
            <w:vAlign w:val="center"/>
          </w:tcPr>
          <w:p w14:paraId="68B0FB62">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r>
      <w:tr w14:paraId="42059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37" w:type="dxa"/>
            <w:vMerge w:val="continue"/>
            <w:tcBorders>
              <w:bottom w:val="single" w:color="auto" w:sz="4" w:space="0"/>
              <w:right w:val="single" w:color="auto" w:sz="4" w:space="0"/>
            </w:tcBorders>
            <w:shd w:val="clear" w:color="auto" w:fill="auto"/>
            <w:vAlign w:val="center"/>
          </w:tcPr>
          <w:p w14:paraId="0AD0612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c>
          <w:tcPr>
            <w:tcW w:w="1392" w:type="dxa"/>
            <w:vMerge w:val="continue"/>
            <w:tcBorders>
              <w:left w:val="single" w:color="auto" w:sz="4" w:space="0"/>
              <w:bottom w:val="single" w:color="auto" w:sz="4" w:space="0"/>
              <w:right w:val="single" w:color="auto" w:sz="4" w:space="0"/>
            </w:tcBorders>
            <w:shd w:val="clear" w:color="auto" w:fill="auto"/>
            <w:vAlign w:val="center"/>
          </w:tcPr>
          <w:p w14:paraId="163F2F9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413C5B7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普通单页</w:t>
            </w:r>
          </w:p>
        </w:tc>
        <w:tc>
          <w:tcPr>
            <w:tcW w:w="2114" w:type="dxa"/>
            <w:vMerge w:val="continue"/>
            <w:tcBorders>
              <w:left w:val="single" w:color="auto" w:sz="4" w:space="0"/>
              <w:bottom w:val="single" w:color="auto" w:sz="4" w:space="0"/>
              <w:right w:val="single" w:color="auto" w:sz="4" w:space="0"/>
            </w:tcBorders>
            <w:shd w:val="clear" w:color="auto" w:fill="auto"/>
            <w:noWrap/>
            <w:vAlign w:val="center"/>
          </w:tcPr>
          <w:p w14:paraId="3D2D2C7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rPr>
            </w:pPr>
          </w:p>
        </w:tc>
        <w:tc>
          <w:tcPr>
            <w:tcW w:w="3409" w:type="dxa"/>
            <w:gridSpan w:val="2"/>
            <w:vMerge w:val="continue"/>
            <w:tcBorders>
              <w:left w:val="single" w:color="auto" w:sz="4" w:space="0"/>
              <w:bottom w:val="single" w:color="auto" w:sz="4" w:space="0"/>
              <w:right w:val="single" w:color="auto" w:sz="4" w:space="0"/>
            </w:tcBorders>
            <w:shd w:val="clear" w:color="auto" w:fill="auto"/>
            <w:noWrap/>
            <w:vAlign w:val="center"/>
          </w:tcPr>
          <w:p w14:paraId="494B67F7">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B333A">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60页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4C71D">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398A4">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23" w:type="dxa"/>
            <w:tcBorders>
              <w:top w:val="single" w:color="auto" w:sz="4" w:space="0"/>
              <w:left w:val="single" w:color="auto" w:sz="4" w:space="0"/>
              <w:bottom w:val="single" w:color="auto" w:sz="4" w:space="0"/>
            </w:tcBorders>
            <w:shd w:val="clear" w:color="auto" w:fill="auto"/>
            <w:vAlign w:val="center"/>
          </w:tcPr>
          <w:p w14:paraId="4CFDA5FB">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r>
      <w:tr w14:paraId="23F57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37" w:type="dxa"/>
            <w:tcBorders>
              <w:top w:val="single" w:color="auto" w:sz="4" w:space="0"/>
              <w:bottom w:val="single" w:color="auto" w:sz="4" w:space="0"/>
              <w:right w:val="single" w:color="auto" w:sz="4" w:space="0"/>
            </w:tcBorders>
            <w:shd w:val="clear" w:color="auto" w:fill="auto"/>
            <w:vAlign w:val="center"/>
          </w:tcPr>
          <w:p w14:paraId="3C11AA4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2</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A1468FB">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图片处理</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0C7A8C4C">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6222C">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分辨率300dpi，</w:t>
            </w:r>
            <w:r>
              <w:rPr>
                <w:rFonts w:hint="eastAsia" w:ascii="仿宋_GB2312" w:hAnsi="仿宋_GB2312" w:eastAsia="仿宋_GB2312" w:cs="仿宋_GB2312"/>
                <w:i w:val="0"/>
                <w:iCs w:val="0"/>
                <w:caps w:val="0"/>
                <w:spacing w:val="0"/>
                <w:sz w:val="28"/>
                <w:szCs w:val="28"/>
                <w:shd w:val="clear" w:fill="FFFFFF"/>
                <w:lang w:val="en-US" w:eastAsia="zh-CN"/>
              </w:rPr>
              <w:br w:type="textWrapping"/>
            </w:r>
            <w:r>
              <w:rPr>
                <w:rFonts w:hint="eastAsia" w:ascii="仿宋_GB2312" w:hAnsi="仿宋_GB2312" w:eastAsia="仿宋_GB2312" w:cs="仿宋_GB2312"/>
                <w:i w:val="0"/>
                <w:iCs w:val="0"/>
                <w:caps w:val="0"/>
                <w:spacing w:val="0"/>
                <w:sz w:val="28"/>
                <w:szCs w:val="28"/>
                <w:shd w:val="clear" w:fill="FFFFFF"/>
                <w:lang w:val="en-US" w:eastAsia="zh-CN"/>
              </w:rPr>
              <w:t>图片短边像素2480+像素</w:t>
            </w:r>
          </w:p>
        </w:tc>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50FBD6">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部分照片需要后期处理，采用AdobeBridg 、AdobeLightroom、AdobePhotoshop、像素蛋糕专业影像处理软件为图片做后期美化</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8C2C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1套</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07D41">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73AA2">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kern w:val="2"/>
                <w:sz w:val="28"/>
                <w:szCs w:val="28"/>
                <w:lang w:val="en-US" w:eastAsia="zh-CN" w:bidi="ar-SA"/>
              </w:rPr>
            </w:pPr>
          </w:p>
        </w:tc>
        <w:tc>
          <w:tcPr>
            <w:tcW w:w="1123" w:type="dxa"/>
            <w:tcBorders>
              <w:top w:val="single" w:color="auto" w:sz="4" w:space="0"/>
              <w:left w:val="single" w:color="auto" w:sz="4" w:space="0"/>
              <w:bottom w:val="single" w:color="auto" w:sz="4" w:space="0"/>
            </w:tcBorders>
            <w:shd w:val="clear" w:color="auto" w:fill="auto"/>
            <w:vAlign w:val="center"/>
          </w:tcPr>
          <w:p w14:paraId="73EB4E53">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r>
      <w:tr w14:paraId="02172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37" w:type="dxa"/>
            <w:tcBorders>
              <w:top w:val="single" w:color="auto" w:sz="4" w:space="0"/>
              <w:bottom w:val="single" w:color="auto" w:sz="4" w:space="0"/>
              <w:right w:val="single" w:color="auto" w:sz="4" w:space="0"/>
            </w:tcBorders>
            <w:shd w:val="clear" w:color="auto" w:fill="auto"/>
            <w:vAlign w:val="center"/>
          </w:tcPr>
          <w:p w14:paraId="2D504A0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3</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233D77F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画册打样</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4B71E8F0">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A4BE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210mm×297mm</w:t>
            </w:r>
          </w:p>
        </w:tc>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16210B">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根据画册成品材质标准印制样本</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CE56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1套</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51017">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917FB">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23" w:type="dxa"/>
            <w:tcBorders>
              <w:top w:val="single" w:color="auto" w:sz="4" w:space="0"/>
              <w:left w:val="single" w:color="auto" w:sz="4" w:space="0"/>
              <w:bottom w:val="single" w:color="auto" w:sz="4" w:space="0"/>
            </w:tcBorders>
            <w:shd w:val="clear" w:color="auto" w:fill="auto"/>
            <w:vAlign w:val="center"/>
          </w:tcPr>
          <w:p w14:paraId="4A1681E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r>
      <w:tr w14:paraId="694B4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37" w:type="dxa"/>
            <w:tcBorders>
              <w:top w:val="single" w:color="auto" w:sz="4" w:space="0"/>
              <w:bottom w:val="single" w:color="auto" w:sz="4" w:space="0"/>
              <w:right w:val="single" w:color="auto" w:sz="4" w:space="0"/>
            </w:tcBorders>
            <w:shd w:val="clear" w:color="auto" w:fill="auto"/>
            <w:vAlign w:val="center"/>
          </w:tcPr>
          <w:p w14:paraId="0BF6EA1E">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4</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5FBC08E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画册印刷</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14:paraId="3766B2EB">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A89E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210mm×297mm</w:t>
            </w:r>
          </w:p>
        </w:tc>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FD6DE0">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sz w:val="28"/>
                <w:szCs w:val="28"/>
              </w:rPr>
              <w:t>工艺为高清数码打印胶装，封面250克铜版纸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过膜亮膜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内页250克铜版纸</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53597">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200本</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4F40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F59">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23" w:type="dxa"/>
            <w:tcBorders>
              <w:top w:val="single" w:color="auto" w:sz="4" w:space="0"/>
              <w:left w:val="single" w:color="auto" w:sz="4" w:space="0"/>
              <w:bottom w:val="single" w:color="auto" w:sz="4" w:space="0"/>
            </w:tcBorders>
            <w:shd w:val="clear" w:color="auto" w:fill="auto"/>
            <w:vAlign w:val="center"/>
          </w:tcPr>
          <w:p w14:paraId="6232B4A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r>
      <w:tr w14:paraId="1D824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37" w:type="dxa"/>
            <w:tcBorders>
              <w:top w:val="single" w:color="auto" w:sz="4" w:space="0"/>
              <w:bottom w:val="single" w:color="auto" w:sz="4" w:space="0"/>
              <w:right w:val="single" w:color="auto" w:sz="4" w:space="0"/>
            </w:tcBorders>
            <w:shd w:val="clear" w:color="auto" w:fill="auto"/>
            <w:vAlign w:val="center"/>
          </w:tcPr>
          <w:p w14:paraId="610BF945">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5</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2F20C">
            <w:pPr>
              <w:keepNext w:val="0"/>
              <w:keepLines w:val="0"/>
              <w:pageBreakBefore w:val="0"/>
              <w:kinsoku/>
              <w:wordWrap/>
              <w:overflowPunct/>
              <w:topLinePunct w:val="0"/>
              <w:autoSpaceDE/>
              <w:autoSpaceDN/>
              <w:bidi w:val="0"/>
              <w:adjustRightInd/>
              <w:snapToGrid/>
              <w:spacing w:line="400" w:lineRule="exact"/>
              <w:jc w:val="center"/>
              <w:rPr>
                <w:rFonts w:hint="default"/>
                <w:sz w:val="28"/>
                <w:szCs w:val="28"/>
                <w:lang w:val="en-US" w:eastAsia="zh-CN"/>
              </w:rPr>
            </w:pPr>
            <w:r>
              <w:rPr>
                <w:rFonts w:hint="eastAsia" w:ascii="仿宋_GB2312" w:hAnsi="仿宋_GB2312" w:eastAsia="仿宋_GB2312" w:cs="仿宋_GB2312"/>
                <w:b/>
                <w:bCs/>
                <w:color w:val="000000"/>
                <w:sz w:val="28"/>
                <w:szCs w:val="28"/>
                <w:lang w:val="en-US" w:eastAsia="zh-CN"/>
              </w:rPr>
              <w:t>电子画册</w:t>
            </w: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CF13D">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w:t>
            </w:r>
          </w:p>
        </w:tc>
        <w:tc>
          <w:tcPr>
            <w:tcW w:w="2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AFAF1">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整理上传制作电子书，提供永久链接和二维码</w:t>
            </w:r>
          </w:p>
        </w:tc>
        <w:tc>
          <w:tcPr>
            <w:tcW w:w="3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C5E128">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aps w:val="0"/>
                <w:spacing w:val="0"/>
                <w:sz w:val="28"/>
                <w:szCs w:val="28"/>
                <w:shd w:val="clear" w:fill="FFFFFF"/>
                <w:lang w:val="en-US" w:eastAsia="zh-CN"/>
              </w:rPr>
            </w:pPr>
            <w:r>
              <w:rPr>
                <w:rFonts w:hint="eastAsia" w:ascii="仿宋_GB2312" w:hAnsi="仿宋_GB2312" w:eastAsia="仿宋_GB2312" w:cs="仿宋_GB2312"/>
                <w:i w:val="0"/>
                <w:iCs w:val="0"/>
                <w:caps w:val="0"/>
                <w:spacing w:val="0"/>
                <w:sz w:val="28"/>
                <w:szCs w:val="28"/>
                <w:shd w:val="clear" w:fill="FFFFFF"/>
                <w:lang w:val="en-US" w:eastAsia="zh-CN"/>
              </w:rPr>
              <w:t>可直接分享到微信/朋友圈</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32A4">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1套</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28FE">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A820E">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b/>
                <w:bCs/>
                <w:color w:val="000000"/>
                <w:sz w:val="28"/>
                <w:szCs w:val="28"/>
                <w:lang w:val="en-US" w:eastAsia="zh-CN"/>
              </w:rPr>
            </w:pPr>
          </w:p>
        </w:tc>
        <w:tc>
          <w:tcPr>
            <w:tcW w:w="1123" w:type="dxa"/>
            <w:tcBorders>
              <w:top w:val="single" w:color="auto" w:sz="4" w:space="0"/>
              <w:left w:val="single" w:color="auto" w:sz="4" w:space="0"/>
              <w:bottom w:val="single" w:color="auto" w:sz="4" w:space="0"/>
            </w:tcBorders>
            <w:shd w:val="clear" w:color="auto" w:fill="auto"/>
            <w:noWrap/>
            <w:vAlign w:val="center"/>
          </w:tcPr>
          <w:p w14:paraId="29550D1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000000"/>
                <w:sz w:val="28"/>
                <w:szCs w:val="28"/>
                <w:lang w:val="en-US" w:eastAsia="zh-CN"/>
              </w:rPr>
            </w:pPr>
          </w:p>
        </w:tc>
      </w:tr>
      <w:tr w14:paraId="4EA02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229" w:type="dxa"/>
            <w:gridSpan w:val="2"/>
            <w:tcBorders>
              <w:top w:val="single" w:color="auto" w:sz="4" w:space="0"/>
              <w:bottom w:val="single" w:color="auto" w:sz="4" w:space="0"/>
              <w:right w:val="single" w:color="auto" w:sz="4" w:space="0"/>
            </w:tcBorders>
            <w:shd w:val="clear" w:color="auto" w:fill="auto"/>
            <w:vAlign w:val="center"/>
          </w:tcPr>
          <w:p w14:paraId="0A4A15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8"/>
                <w:szCs w:val="28"/>
                <w:lang w:val="en-US" w:eastAsia="zh-CN"/>
              </w:rPr>
            </w:pPr>
            <w:r>
              <w:rPr>
                <w:rFonts w:hint="eastAsia" w:ascii="仿宋_GB2312" w:hAnsi="仿宋_GB2312" w:eastAsia="仿宋_GB2312" w:cs="仿宋_GB2312"/>
                <w:b/>
                <w:bCs/>
                <w:color w:val="000000"/>
                <w:sz w:val="28"/>
                <w:szCs w:val="28"/>
                <w:lang w:val="en-US" w:eastAsia="zh-CN"/>
              </w:rPr>
              <w:t>总价（含税）</w:t>
            </w:r>
          </w:p>
        </w:tc>
        <w:tc>
          <w:tcPr>
            <w:tcW w:w="11841" w:type="dxa"/>
            <w:gridSpan w:val="8"/>
            <w:tcBorders>
              <w:top w:val="single" w:color="auto" w:sz="4" w:space="0"/>
              <w:left w:val="single" w:color="auto" w:sz="4" w:space="0"/>
              <w:bottom w:val="single" w:color="auto" w:sz="4" w:space="0"/>
            </w:tcBorders>
            <w:shd w:val="clear" w:color="auto" w:fill="auto"/>
            <w:noWrap/>
            <w:vAlign w:val="center"/>
          </w:tcPr>
          <w:p w14:paraId="6A78F3CC">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color w:val="000000"/>
                <w:sz w:val="28"/>
                <w:szCs w:val="28"/>
              </w:rPr>
            </w:pPr>
          </w:p>
        </w:tc>
      </w:tr>
      <w:tr w14:paraId="52CA4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229" w:type="dxa"/>
            <w:gridSpan w:val="2"/>
            <w:tcBorders>
              <w:top w:val="single" w:color="auto" w:sz="4" w:space="0"/>
              <w:right w:val="single" w:color="auto" w:sz="4" w:space="0"/>
            </w:tcBorders>
            <w:shd w:val="clear" w:color="auto" w:fill="auto"/>
            <w:vAlign w:val="center"/>
          </w:tcPr>
          <w:p w14:paraId="3F596579">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其余赠送服务</w:t>
            </w:r>
          </w:p>
        </w:tc>
        <w:tc>
          <w:tcPr>
            <w:tcW w:w="11841" w:type="dxa"/>
            <w:gridSpan w:val="8"/>
            <w:tcBorders>
              <w:top w:val="single" w:color="auto" w:sz="4" w:space="0"/>
              <w:left w:val="single" w:color="auto" w:sz="4" w:space="0"/>
            </w:tcBorders>
            <w:shd w:val="clear" w:color="auto" w:fill="auto"/>
            <w:noWrap/>
            <w:vAlign w:val="center"/>
          </w:tcPr>
          <w:p w14:paraId="174C5EBF">
            <w:pPr>
              <w:keepNext w:val="0"/>
              <w:keepLines w:val="0"/>
              <w:pageBreakBefore w:val="0"/>
              <w:kinsoku/>
              <w:wordWrap/>
              <w:overflowPunct/>
              <w:topLinePunct w:val="0"/>
              <w:autoSpaceDN/>
              <w:bidi w:val="0"/>
              <w:adjustRightInd/>
              <w:snapToGrid/>
              <w:spacing w:line="560" w:lineRule="exact"/>
              <w:jc w:val="center"/>
              <w:rPr>
                <w:rFonts w:ascii="宋体" w:hAnsi="宋体" w:eastAsia="宋体" w:cs="宋体"/>
                <w:color w:val="000000"/>
                <w:sz w:val="28"/>
                <w:szCs w:val="28"/>
              </w:rPr>
            </w:pPr>
          </w:p>
        </w:tc>
      </w:tr>
    </w:tbl>
    <w:p w14:paraId="3166911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val="en-US" w:eastAsia="zh-CN"/>
        </w:rPr>
      </w:pPr>
    </w:p>
    <w:p w14:paraId="091BA2B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lang w:val="en-US" w:eastAsia="zh-CN"/>
        </w:rPr>
      </w:pPr>
    </w:p>
    <w:p w14:paraId="374662EB">
      <w:pPr>
        <w:pStyle w:val="14"/>
        <w:rPr>
          <w:rFonts w:hint="eastAsia" w:ascii="仿宋_GB2312" w:hAnsi="仿宋_GB2312" w:eastAsia="仿宋_GB2312" w:cs="仿宋_GB2312"/>
          <w:sz w:val="32"/>
          <w:szCs w:val="32"/>
          <w:lang w:val="en-US" w:eastAsia="zh-CN"/>
        </w:rPr>
      </w:pPr>
    </w:p>
    <w:p w14:paraId="20DBE020">
      <w:pPr>
        <w:pStyle w:val="14"/>
        <w:rPr>
          <w:rFonts w:hint="eastAsia" w:ascii="仿宋_GB2312" w:hAnsi="仿宋_GB2312" w:eastAsia="仿宋_GB2312" w:cs="仿宋_GB2312"/>
          <w:sz w:val="32"/>
          <w:szCs w:val="32"/>
          <w:lang w:val="en-US" w:eastAsia="zh-CN"/>
        </w:rPr>
      </w:pPr>
    </w:p>
    <w:p w14:paraId="62631F0C">
      <w:pPr>
        <w:pStyle w:val="14"/>
        <w:rPr>
          <w:rFonts w:hint="eastAsia" w:ascii="仿宋_GB2312" w:hAnsi="仿宋_GB2312" w:eastAsia="仿宋_GB2312" w:cs="仿宋_GB2312"/>
          <w:sz w:val="32"/>
          <w:szCs w:val="32"/>
          <w:lang w:val="en-US" w:eastAsia="zh-CN"/>
        </w:rPr>
      </w:pPr>
    </w:p>
    <w:p w14:paraId="4297BD9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sectPr>
          <w:footerReference r:id="rId5" w:type="default"/>
          <w:pgSz w:w="16838" w:h="11906" w:orient="landscape"/>
          <w:pgMar w:top="1417" w:right="1702" w:bottom="1133" w:left="99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CA7C13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390811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14:paraId="29C3DBE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南宁市工人文化宫2024年度画册设计制作</w:t>
      </w:r>
    </w:p>
    <w:p w14:paraId="0B8D5A7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项目评分标准</w:t>
      </w:r>
    </w:p>
    <w:p w14:paraId="6D2913D2">
      <w:pPr>
        <w:pStyle w:val="14"/>
        <w:rPr>
          <w:rFonts w:hint="default"/>
          <w:lang w:val="en-US" w:eastAsia="zh-CN"/>
        </w:rPr>
      </w:pPr>
    </w:p>
    <w:p w14:paraId="6EEC18BA">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一、工作小组</w:t>
      </w:r>
    </w:p>
    <w:p w14:paraId="25206CB0">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工作组对报价文件进行综合</w:t>
      </w:r>
      <w:r>
        <w:rPr>
          <w:rFonts w:hint="eastAsia" w:ascii="仿宋_GB2312" w:hAnsi="仿宋_GB2312" w:eastAsia="仿宋_GB2312" w:cs="仿宋_GB2312"/>
          <w:sz w:val="32"/>
          <w:szCs w:val="32"/>
          <w:lang w:val="en-US" w:eastAsia="zh-CN"/>
        </w:rPr>
        <w:t>评分</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监督组负责全过程监督本次</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工作的开展。</w:t>
      </w:r>
    </w:p>
    <w:p w14:paraId="713A7072">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二、评分办法</w:t>
      </w:r>
    </w:p>
    <w:p w14:paraId="32B7DF5E">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的实际情况确定该项目的</w:t>
      </w:r>
      <w:r>
        <w:rPr>
          <w:rFonts w:hint="eastAsia" w:ascii="仿宋_GB2312" w:hAnsi="仿宋_GB2312" w:eastAsia="仿宋_GB2312" w:cs="仿宋_GB2312"/>
          <w:sz w:val="32"/>
          <w:szCs w:val="32"/>
          <w:lang w:val="en-US" w:eastAsia="zh-CN"/>
        </w:rPr>
        <w:t>预算总价</w:t>
      </w:r>
      <w:r>
        <w:rPr>
          <w:rFonts w:hint="eastAsia" w:ascii="仿宋_GB2312" w:hAnsi="仿宋_GB2312" w:eastAsia="仿宋_GB2312" w:cs="仿宋_GB2312"/>
          <w:sz w:val="32"/>
          <w:szCs w:val="32"/>
        </w:rPr>
        <w:t>，作为本次</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的限价，高于该限价的报价均无效。</w:t>
      </w:r>
    </w:p>
    <w:p w14:paraId="46979FD2">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2.报价单位</w:t>
      </w:r>
      <w:r>
        <w:rPr>
          <w:rFonts w:hint="eastAsia" w:ascii="仿宋_GB2312" w:hAnsi="仿宋_GB2312" w:eastAsia="仿宋_GB2312" w:cs="仿宋_GB2312"/>
          <w:sz w:val="32"/>
          <w:szCs w:val="32"/>
          <w:lang w:val="zh-CN"/>
        </w:rPr>
        <w:t>的最终得分以全部评委打分的算术平均数为准</w:t>
      </w:r>
      <w:r>
        <w:rPr>
          <w:rFonts w:hint="eastAsia" w:ascii="仿宋_GB2312" w:hAnsi="仿宋_GB2312" w:eastAsia="仿宋_GB2312" w:cs="仿宋_GB2312"/>
          <w:sz w:val="32"/>
          <w:szCs w:val="32"/>
          <w:lang w:val="zh-CN" w:eastAsia="zh-CN"/>
        </w:rPr>
        <w:t>，作为该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zh-CN" w:eastAsia="zh-CN"/>
        </w:rPr>
        <w:t>的最终得分。</w:t>
      </w:r>
    </w:p>
    <w:p w14:paraId="3AB64BBB">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3.报价结果按评审后得分由高到低顺序排列。得分相同的，按报价由低到高顺序排列，得分且报价相同的以项目案例得分由高到低排列。</w:t>
      </w:r>
    </w:p>
    <w:p w14:paraId="56F35707">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报价文件满足邀请函全部实质性要求，且按照评审得分最高的报价单位为排名第一的成交单位。</w:t>
      </w:r>
    </w:p>
    <w:p w14:paraId="23DDC734">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5.对于进入详评的报价单位文件，采用百分制综合评分法。计分标准包含（1）项目报价；（2）项目介绍；（3）项目案例；（4）附加服务。</w:t>
      </w:r>
    </w:p>
    <w:p w14:paraId="02743BCE">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具体评分办法如下：</w:t>
      </w:r>
    </w:p>
    <w:tbl>
      <w:tblPr>
        <w:tblStyle w:val="9"/>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92"/>
        <w:gridCol w:w="7466"/>
      </w:tblGrid>
      <w:tr w14:paraId="17EA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14:paraId="2B9717CC">
            <w:pPr>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序号</w:t>
            </w:r>
          </w:p>
        </w:tc>
        <w:tc>
          <w:tcPr>
            <w:tcW w:w="1392" w:type="dxa"/>
            <w:noWrap w:val="0"/>
            <w:vAlign w:val="center"/>
          </w:tcPr>
          <w:p w14:paraId="3503694D">
            <w:pPr>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w:t>
            </w:r>
          </w:p>
        </w:tc>
        <w:tc>
          <w:tcPr>
            <w:tcW w:w="7466" w:type="dxa"/>
            <w:noWrap w:val="0"/>
            <w:vAlign w:val="center"/>
          </w:tcPr>
          <w:p w14:paraId="5E8446F0">
            <w:pPr>
              <w:pStyle w:val="14"/>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细则</w:t>
            </w:r>
          </w:p>
        </w:tc>
      </w:tr>
      <w:tr w14:paraId="77E9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14:paraId="1937EC7A">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392" w:type="dxa"/>
            <w:noWrap w:val="0"/>
            <w:vAlign w:val="center"/>
          </w:tcPr>
          <w:p w14:paraId="2F071970">
            <w:pPr>
              <w:keepNext w:val="0"/>
              <w:keepLines w:val="0"/>
              <w:pageBreakBefore w:val="0"/>
              <w:kinsoku/>
              <w:wordWrap/>
              <w:overflowPunct/>
              <w:topLinePunct w:val="0"/>
              <w:bidi w:val="0"/>
              <w:spacing w:line="560" w:lineRule="exact"/>
              <w:rPr>
                <w:rFonts w:hint="default"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项目报价（40分）</w:t>
            </w:r>
          </w:p>
        </w:tc>
        <w:tc>
          <w:tcPr>
            <w:tcW w:w="7466" w:type="dxa"/>
            <w:noWrap w:val="0"/>
            <w:vAlign w:val="center"/>
          </w:tcPr>
          <w:p w14:paraId="73869133">
            <w:pPr>
              <w:pStyle w:val="14"/>
              <w:keepNext w:val="0"/>
              <w:keepLines w:val="0"/>
              <w:pageBreakBefore w:val="0"/>
              <w:kinsoku/>
              <w:wordWrap/>
              <w:overflowPunct/>
              <w:topLinePunct w:val="0"/>
              <w:bidi w:val="0"/>
              <w:spacing w:line="560" w:lineRule="exac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1、报价单位应包含邀请单位指定的必要服务项目且报价最低可获得35分，按报价从低到高以2分为一个等级递减。如缺少甲方指定的必要服务内容则该项分值为零。</w:t>
            </w:r>
          </w:p>
          <w:p w14:paraId="1A7B4F38">
            <w:pPr>
              <w:pStyle w:val="14"/>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2、项目报价为报价单位进行政策性扣除后的价格，</w:t>
            </w:r>
            <w:r>
              <w:rPr>
                <w:rFonts w:hint="eastAsia" w:ascii="仿宋_GB2312" w:hAnsi="仿宋_GB2312" w:eastAsia="仿宋_GB2312" w:cs="仿宋_GB2312"/>
                <w:color w:val="auto"/>
                <w:kern w:val="2"/>
                <w:sz w:val="28"/>
                <w:szCs w:val="28"/>
                <w:lang w:val="zh-CN" w:eastAsia="zh-CN" w:bidi="ar-SA"/>
              </w:rPr>
              <w:t>总报价为各分项报价之和，</w:t>
            </w:r>
            <w:r>
              <w:rPr>
                <w:rFonts w:hint="eastAsia" w:ascii="仿宋_GB2312" w:hAnsi="仿宋_GB2312" w:eastAsia="仿宋_GB2312" w:cs="仿宋_GB2312"/>
                <w:color w:val="auto"/>
                <w:kern w:val="2"/>
                <w:sz w:val="28"/>
                <w:szCs w:val="28"/>
                <w:lang w:val="en-US" w:eastAsia="zh-CN" w:bidi="ar-SA"/>
              </w:rPr>
              <w:t>最终报价单位的成交金额＝询价时报价（含税价格）。</w:t>
            </w:r>
          </w:p>
          <w:p w14:paraId="186871F6">
            <w:pPr>
              <w:pStyle w:val="14"/>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3、合同</w:t>
            </w:r>
            <w:r>
              <w:rPr>
                <w:rFonts w:hint="eastAsia" w:ascii="仿宋_GB2312" w:hAnsi="仿宋_GB2312" w:eastAsia="仿宋_GB2312" w:cs="仿宋_GB2312"/>
                <w:color w:val="auto"/>
                <w:kern w:val="2"/>
                <w:sz w:val="28"/>
                <w:szCs w:val="28"/>
                <w:lang w:val="zh-CN" w:eastAsia="zh-CN" w:bidi="ar-SA"/>
              </w:rPr>
              <w:t>的结算和支付均以人民币（元）为单位。</w:t>
            </w:r>
            <w:r>
              <w:rPr>
                <w:rFonts w:hint="eastAsia" w:ascii="仿宋_GB2312" w:hAnsi="仿宋_GB2312" w:eastAsia="仿宋_GB2312" w:cs="仿宋_GB2312"/>
                <w:color w:val="auto"/>
                <w:kern w:val="2"/>
                <w:sz w:val="28"/>
                <w:szCs w:val="28"/>
                <w:lang w:val="en-US" w:eastAsia="zh-CN" w:bidi="ar-SA"/>
              </w:rPr>
              <w:t>报价必须填写具体金额（不得填写区间）。报价包括了询价完成本项目所需一切工作内容而发生的所有直接费用、间接费用、其他费用等全部费用，和报价单位要求获得的利润以及应由报价单位承担的</w:t>
            </w:r>
            <w:r>
              <w:rPr>
                <w:rFonts w:hint="eastAsia" w:ascii="仿宋_GB2312" w:hAnsi="仿宋_GB2312" w:eastAsia="仿宋_GB2312" w:cs="仿宋_GB2312"/>
                <w:color w:val="auto"/>
                <w:kern w:val="2"/>
                <w:sz w:val="28"/>
                <w:szCs w:val="28"/>
                <w:lang w:val="zh-CN" w:eastAsia="zh-CN" w:bidi="ar-SA"/>
              </w:rPr>
              <w:t>义务</w:t>
            </w:r>
            <w:r>
              <w:rPr>
                <w:rFonts w:hint="eastAsia" w:ascii="仿宋_GB2312" w:hAnsi="仿宋_GB2312" w:eastAsia="仿宋_GB2312" w:cs="仿宋_GB2312"/>
                <w:color w:val="auto"/>
                <w:kern w:val="2"/>
                <w:sz w:val="28"/>
                <w:szCs w:val="28"/>
                <w:lang w:val="en-US" w:eastAsia="zh-CN" w:bidi="ar-SA"/>
              </w:rPr>
              <w:t>、责任和风险所发生的一切费用。</w:t>
            </w:r>
          </w:p>
          <w:p w14:paraId="1BC252F7">
            <w:pPr>
              <w:pStyle w:val="14"/>
              <w:keepNext w:val="0"/>
              <w:keepLines w:val="0"/>
              <w:pageBreakBefore w:val="0"/>
              <w:kinsoku/>
              <w:wordWrap/>
              <w:overflowPunct/>
              <w:topLinePunct w:val="0"/>
              <w:bidi w:val="0"/>
              <w:spacing w:line="560" w:lineRule="exac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zh-CN" w:eastAsia="zh-CN" w:bidi="ar-SA"/>
              </w:rPr>
              <w:t>如</w:t>
            </w:r>
            <w:r>
              <w:rPr>
                <w:rFonts w:hint="eastAsia" w:ascii="仿宋_GB2312" w:hAnsi="仿宋_GB2312" w:eastAsia="仿宋_GB2312" w:cs="仿宋_GB2312"/>
                <w:color w:val="auto"/>
                <w:kern w:val="2"/>
                <w:sz w:val="28"/>
                <w:szCs w:val="28"/>
                <w:lang w:val="en-US" w:eastAsia="zh-CN" w:bidi="ar-SA"/>
              </w:rPr>
              <w:t>询价工作组</w:t>
            </w:r>
            <w:r>
              <w:rPr>
                <w:rFonts w:hint="eastAsia" w:ascii="仿宋_GB2312" w:hAnsi="仿宋_GB2312" w:eastAsia="仿宋_GB2312" w:cs="仿宋_GB2312"/>
                <w:color w:val="auto"/>
                <w:kern w:val="2"/>
                <w:sz w:val="28"/>
                <w:szCs w:val="28"/>
                <w:lang w:val="zh-CN" w:eastAsia="zh-CN" w:bidi="ar-SA"/>
              </w:rPr>
              <w:t>认为，某</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的有效</w:t>
            </w:r>
            <w:r>
              <w:rPr>
                <w:rFonts w:hint="eastAsia" w:ascii="仿宋_GB2312" w:hAnsi="仿宋_GB2312" w:eastAsia="仿宋_GB2312" w:cs="仿宋_GB2312"/>
                <w:color w:val="auto"/>
                <w:kern w:val="2"/>
                <w:sz w:val="28"/>
                <w:szCs w:val="28"/>
                <w:lang w:val="en-US" w:eastAsia="zh-CN" w:bidi="ar-SA"/>
              </w:rPr>
              <w:t>项目</w:t>
            </w:r>
            <w:r>
              <w:rPr>
                <w:rFonts w:hint="eastAsia" w:ascii="仿宋_GB2312" w:hAnsi="仿宋_GB2312" w:eastAsia="仿宋_GB2312" w:cs="仿宋_GB2312"/>
                <w:color w:val="auto"/>
                <w:kern w:val="2"/>
                <w:sz w:val="28"/>
                <w:szCs w:val="28"/>
                <w:lang w:val="zh-CN" w:eastAsia="zh-CN" w:bidi="ar-SA"/>
              </w:rPr>
              <w:t>报价或者某些分项报价明显不合理或者低于成本，有可能影响服务质量和不能诚信履约，经</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解释后仍不具备合理性的，可由在场所有</w:t>
            </w:r>
            <w:r>
              <w:rPr>
                <w:rFonts w:hint="eastAsia" w:ascii="仿宋_GB2312" w:hAnsi="仿宋_GB2312" w:eastAsia="仿宋_GB2312" w:cs="仿宋_GB2312"/>
                <w:color w:val="auto"/>
                <w:kern w:val="2"/>
                <w:sz w:val="28"/>
                <w:szCs w:val="28"/>
                <w:lang w:val="en-US" w:eastAsia="zh-CN" w:bidi="ar-SA"/>
              </w:rPr>
              <w:t>询价工作组</w:t>
            </w:r>
            <w:r>
              <w:rPr>
                <w:rFonts w:hint="eastAsia" w:ascii="仿宋_GB2312" w:hAnsi="仿宋_GB2312" w:eastAsia="仿宋_GB2312" w:cs="仿宋_GB2312"/>
                <w:color w:val="auto"/>
                <w:kern w:val="2"/>
                <w:sz w:val="28"/>
                <w:szCs w:val="28"/>
                <w:lang w:val="zh-CN" w:eastAsia="zh-CN" w:bidi="ar-SA"/>
              </w:rPr>
              <w:t>商议，并有权不推荐该</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为</w:t>
            </w:r>
            <w:r>
              <w:rPr>
                <w:rFonts w:hint="eastAsia" w:ascii="仿宋_GB2312" w:hAnsi="仿宋_GB2312" w:eastAsia="仿宋_GB2312" w:cs="仿宋_GB2312"/>
                <w:color w:val="auto"/>
                <w:kern w:val="2"/>
                <w:sz w:val="28"/>
                <w:szCs w:val="28"/>
                <w:lang w:val="en-US" w:eastAsia="zh-CN" w:bidi="ar-SA"/>
              </w:rPr>
              <w:t>成交</w:t>
            </w:r>
            <w:r>
              <w:rPr>
                <w:rFonts w:hint="eastAsia" w:ascii="仿宋_GB2312" w:hAnsi="仿宋_GB2312" w:eastAsia="仿宋_GB2312" w:cs="仿宋_GB2312"/>
                <w:color w:val="auto"/>
                <w:kern w:val="2"/>
                <w:sz w:val="28"/>
                <w:szCs w:val="28"/>
                <w:lang w:val="zh-CN" w:eastAsia="zh-CN" w:bidi="ar-SA"/>
              </w:rPr>
              <w:t>候选人。</w:t>
            </w:r>
          </w:p>
        </w:tc>
      </w:tr>
      <w:tr w14:paraId="0CBE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14:paraId="6340164D">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392" w:type="dxa"/>
            <w:noWrap w:val="0"/>
            <w:vAlign w:val="center"/>
          </w:tcPr>
          <w:p w14:paraId="509DE073">
            <w:pPr>
              <w:keepNext w:val="0"/>
              <w:keepLines w:val="0"/>
              <w:pageBreakBefore w:val="0"/>
              <w:kinsoku/>
              <w:wordWrap/>
              <w:overflowPunct/>
              <w:topLinePunct w:val="0"/>
              <w:bidi w:val="0"/>
              <w:spacing w:line="560" w:lineRule="exact"/>
              <w:rPr>
                <w:rFonts w:hint="default" w:ascii="仿宋_GB2312" w:hAnsi="仿宋_GB2312" w:eastAsia="仿宋_GB2312" w:cs="仿宋_GB2312"/>
                <w:color w:val="auto"/>
                <w:sz w:val="28"/>
                <w:szCs w:val="28"/>
                <w:highlight w:val="yellow"/>
                <w:lang w:val="en-US"/>
              </w:rPr>
            </w:pPr>
            <w:r>
              <w:rPr>
                <w:rFonts w:hint="eastAsia" w:ascii="仿宋_GB2312" w:hAnsi="仿宋_GB2312" w:eastAsia="仿宋_GB2312" w:cs="仿宋_GB2312"/>
                <w:color w:val="auto"/>
                <w:sz w:val="28"/>
                <w:szCs w:val="28"/>
                <w:lang w:val="en-US" w:eastAsia="zh-CN"/>
              </w:rPr>
              <w:t>项目介绍（30分）</w:t>
            </w:r>
          </w:p>
        </w:tc>
        <w:tc>
          <w:tcPr>
            <w:tcW w:w="7466" w:type="dxa"/>
            <w:noWrap w:val="0"/>
            <w:vAlign w:val="center"/>
          </w:tcPr>
          <w:p w14:paraId="59C97CDB">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1、基础分值均为10分，依据提供的项目材料进行加分，该项项目总分值=基础分值+栏目内第二项+栏目内第三项。</w:t>
            </w:r>
          </w:p>
          <w:p w14:paraId="14028043">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2、报价单位应就贵公司的业务能力做基本展示介绍，包括但不限于公司规模、人员配比、服务人群等。询价工作组对比参与报价单位的询价材料后依次打出8分、9分、10分。</w:t>
            </w:r>
          </w:p>
          <w:p w14:paraId="6E9C7FB6">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3、针对本次项目布局进行思路阐述，包含但不限于封面页、目录页、章节页、后记页、画面设计、概念叙述、亮点部分等方向的内容。询价工作组对比参与报价单位的询价材料后依次打出6分、8分、10分。</w:t>
            </w:r>
          </w:p>
        </w:tc>
      </w:tr>
      <w:tr w14:paraId="47C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13" w:type="dxa"/>
            <w:noWrap w:val="0"/>
            <w:vAlign w:val="center"/>
          </w:tcPr>
          <w:p w14:paraId="701AABD2">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392" w:type="dxa"/>
            <w:noWrap w:val="0"/>
            <w:vAlign w:val="center"/>
          </w:tcPr>
          <w:p w14:paraId="5231F3AB">
            <w:pPr>
              <w:keepNext w:val="0"/>
              <w:keepLines w:val="0"/>
              <w:pageBreakBefore w:val="0"/>
              <w:kinsoku/>
              <w:wordWrap/>
              <w:overflowPunct/>
              <w:topLinePunct w:val="0"/>
              <w:autoSpaceDE w:val="0"/>
              <w:autoSpaceDN w:val="0"/>
              <w:bidi w:val="0"/>
              <w:adjustRightInd w:val="0"/>
              <w:snapToGrid w:val="0"/>
              <w:spacing w:line="560" w:lineRule="exact"/>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项目案例（20分）</w:t>
            </w:r>
          </w:p>
        </w:tc>
        <w:tc>
          <w:tcPr>
            <w:tcW w:w="7466" w:type="dxa"/>
            <w:noWrap w:val="0"/>
            <w:vAlign w:val="center"/>
          </w:tcPr>
          <w:p w14:paraId="25ECEE99">
            <w:pPr>
              <w:keepNext w:val="0"/>
              <w:keepLines w:val="0"/>
              <w:pageBreakBefore w:val="0"/>
              <w:widowControl/>
              <w:kinsoku/>
              <w:wordWrap/>
              <w:overflowPunct/>
              <w:topLinePunct w:val="0"/>
              <w:autoSpaceDN/>
              <w:bidi w:val="0"/>
              <w:adjustRightInd/>
              <w:snapToGrid/>
              <w:spacing w:line="560" w:lineRule="exact"/>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1、基础分值均为5分，依据提供的项目材料进行加分，该项项目总分值=基础分值+栏目内第二项+栏目内第三项+栏目内第四项。</w:t>
            </w:r>
          </w:p>
          <w:p w14:paraId="131F8196">
            <w:pPr>
              <w:keepNext w:val="0"/>
              <w:keepLines w:val="0"/>
              <w:pageBreakBefore w:val="0"/>
              <w:widowControl/>
              <w:kinsoku/>
              <w:wordWrap/>
              <w:overflowPunct/>
              <w:topLinePunct w:val="0"/>
              <w:autoSpaceDN/>
              <w:bidi w:val="0"/>
              <w:adjustRightInd/>
              <w:snapToGrid/>
              <w:spacing w:line="560" w:lineRule="exact"/>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2、报价单位应提供以往承接的有关画册设计、折页设计等平面设计制作的项目案例材料，最少例举出1个项目案例，依次多增加1个项目可加1分，上限为5分。</w:t>
            </w:r>
          </w:p>
          <w:p w14:paraId="01432100">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kern w:val="2"/>
                <w:sz w:val="28"/>
                <w:szCs w:val="28"/>
                <w:lang w:val="zh-CN" w:eastAsia="zh-CN" w:bidi="ar-SA"/>
              </w:rPr>
              <w:t>对</w:t>
            </w:r>
            <w:r>
              <w:rPr>
                <w:rFonts w:hint="eastAsia" w:ascii="仿宋_GB2312" w:hAnsi="仿宋_GB2312" w:eastAsia="仿宋_GB2312" w:cs="仿宋_GB2312"/>
                <w:color w:val="auto"/>
                <w:kern w:val="2"/>
                <w:sz w:val="28"/>
                <w:szCs w:val="28"/>
                <w:lang w:val="en-US" w:eastAsia="zh-CN" w:bidi="ar-SA"/>
              </w:rPr>
              <w:t>承接过国家级、自治区级、市级机关单位、大型集团企业项目案例的报价单位，可依据计分标准，国家级项目加3分/个，自治区级项目加2分/个，市级、大型集团企业项目加1分/个，最多可加5分。（需在项目案例后标明是什么级别的项目案例）</w:t>
            </w:r>
          </w:p>
          <w:p w14:paraId="54F31E00">
            <w:pPr>
              <w:keepNext w:val="0"/>
              <w:keepLines w:val="0"/>
              <w:pageBreakBefore w:val="0"/>
              <w:widowControl/>
              <w:kinsoku/>
              <w:wordWrap/>
              <w:overflowPunct/>
              <w:topLinePunct w:val="0"/>
              <w:autoSpaceDN/>
              <w:bidi w:val="0"/>
              <w:adjustRightInd/>
              <w:snapToGrid/>
              <w:spacing w:line="560" w:lineRule="exact"/>
              <w:jc w:val="left"/>
              <w:rPr>
                <w:rFonts w:hint="default" w:eastAsia="宋体"/>
                <w:color w:val="auto"/>
                <w:lang w:val="en-US" w:eastAsia="zh-CN"/>
              </w:rPr>
            </w:pPr>
            <w:r>
              <w:rPr>
                <w:rFonts w:hint="eastAsia" w:ascii="仿宋_GB2312" w:hAnsi="仿宋_GB2312" w:eastAsia="仿宋_GB2312" w:cs="仿宋_GB2312"/>
                <w:color w:val="auto"/>
                <w:kern w:val="2"/>
                <w:sz w:val="28"/>
                <w:szCs w:val="28"/>
                <w:lang w:val="en-US" w:eastAsia="zh-CN" w:bidi="ar-SA"/>
              </w:rPr>
              <w:t>4、</w:t>
            </w:r>
            <w:r>
              <w:rPr>
                <w:rFonts w:hint="default" w:ascii="仿宋_GB2312" w:hAnsi="仿宋_GB2312" w:eastAsia="仿宋_GB2312" w:cs="仿宋_GB2312"/>
                <w:color w:val="auto"/>
                <w:kern w:val="2"/>
                <w:sz w:val="28"/>
                <w:szCs w:val="28"/>
                <w:lang w:val="zh-CN" w:eastAsia="zh-CN" w:bidi="ar-SA"/>
              </w:rPr>
              <w:t>在同等</w:t>
            </w:r>
            <w:r>
              <w:rPr>
                <w:rFonts w:hint="eastAsia" w:ascii="仿宋_GB2312" w:hAnsi="仿宋_GB2312" w:eastAsia="仿宋_GB2312" w:cs="仿宋_GB2312"/>
                <w:color w:val="auto"/>
                <w:kern w:val="2"/>
                <w:sz w:val="28"/>
                <w:szCs w:val="28"/>
                <w:lang w:val="en-US" w:eastAsia="zh-CN" w:bidi="ar-SA"/>
              </w:rPr>
              <w:t>条件下</w:t>
            </w:r>
            <w:r>
              <w:rPr>
                <w:rFonts w:hint="eastAsia" w:ascii="仿宋_GB2312" w:hAnsi="仿宋_GB2312" w:eastAsia="仿宋_GB2312" w:cs="仿宋_GB2312"/>
                <w:color w:val="auto"/>
                <w:kern w:val="2"/>
                <w:sz w:val="28"/>
                <w:szCs w:val="28"/>
                <w:lang w:val="zh-CN" w:eastAsia="zh-CN" w:bidi="ar-SA"/>
              </w:rPr>
              <w:t>（如最终评分相同），</w:t>
            </w:r>
            <w:r>
              <w:rPr>
                <w:rFonts w:hint="eastAsia" w:ascii="仿宋_GB2312" w:hAnsi="仿宋_GB2312" w:eastAsia="仿宋_GB2312" w:cs="仿宋_GB2312"/>
                <w:color w:val="auto"/>
                <w:kern w:val="2"/>
                <w:sz w:val="28"/>
                <w:szCs w:val="28"/>
                <w:lang w:val="en-US" w:eastAsia="zh-CN" w:bidi="ar-SA"/>
              </w:rPr>
              <w:t>以国家级项目案例数量为参考标准，数量最多可加5分，并从多到少以2分为一个等级递减，国家级数量相同则以自治区级为参考标准</w:t>
            </w:r>
            <w:r>
              <w:rPr>
                <w:rFonts w:hint="eastAsia" w:ascii="仿宋_GB2312" w:hAnsi="仿宋_GB2312" w:eastAsia="仿宋_GB2312" w:cs="仿宋_GB2312"/>
                <w:color w:val="auto"/>
                <w:kern w:val="2"/>
                <w:sz w:val="28"/>
                <w:szCs w:val="28"/>
                <w:lang w:val="zh-CN" w:eastAsia="zh-CN" w:bidi="ar-SA"/>
              </w:rPr>
              <w:t>。</w:t>
            </w:r>
          </w:p>
        </w:tc>
      </w:tr>
      <w:tr w14:paraId="4152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14:paraId="43111A3F">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1392" w:type="dxa"/>
            <w:noWrap w:val="0"/>
            <w:vAlign w:val="center"/>
          </w:tcPr>
          <w:p w14:paraId="002E02A7">
            <w:pPr>
              <w:keepNext w:val="0"/>
              <w:keepLines w:val="0"/>
              <w:pageBreakBefore w:val="0"/>
              <w:kinsoku/>
              <w:wordWrap/>
              <w:overflowPunct/>
              <w:topLinePunct w:val="0"/>
              <w:autoSpaceDE w:val="0"/>
              <w:autoSpaceDN w:val="0"/>
              <w:bidi w:val="0"/>
              <w:adjustRightInd w:val="0"/>
              <w:snapToGrid w:val="0"/>
              <w:spacing w:line="56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附加服务（10分）</w:t>
            </w:r>
          </w:p>
        </w:tc>
        <w:tc>
          <w:tcPr>
            <w:tcW w:w="7466" w:type="dxa"/>
            <w:noWrap w:val="0"/>
            <w:vAlign w:val="center"/>
          </w:tcPr>
          <w:p w14:paraId="5CD2DBB6">
            <w:pPr>
              <w:keepNext w:val="0"/>
              <w:keepLines w:val="0"/>
              <w:pageBreakBefore w:val="0"/>
              <w:numPr>
                <w:ilvl w:val="0"/>
                <w:numId w:val="0"/>
              </w:numPr>
              <w:kinsoku/>
              <w:wordWrap/>
              <w:overflowPunct/>
              <w:topLinePunct w:val="0"/>
              <w:autoSpaceDE w:val="0"/>
              <w:autoSpaceDN w:val="0"/>
              <w:bidi w:val="0"/>
              <w:adjustRightInd w:val="0"/>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报价单位应包含邀请单位指定的必要服务项目，基础分值均为5分，每提供一项附加服务可加1分，上限为5分。</w:t>
            </w:r>
          </w:p>
        </w:tc>
      </w:tr>
    </w:tbl>
    <w:p w14:paraId="3CF4B408">
      <w:pPr>
        <w:pStyle w:val="14"/>
        <w:rPr>
          <w:rFonts w:hint="eastAsia" w:ascii="仿宋_GB2312" w:hAnsi="仿宋_GB2312" w:eastAsia="仿宋_GB2312" w:cs="仿宋_GB2312"/>
          <w:sz w:val="32"/>
          <w:szCs w:val="32"/>
          <w:lang w:val="en-US" w:eastAsia="zh-CN"/>
        </w:rPr>
      </w:pPr>
    </w:p>
    <w:p w14:paraId="70A4829F">
      <w:pPr>
        <w:rPr>
          <w:rFonts w:hint="default" w:ascii="方正小标宋简体" w:hAnsi="方正小标宋简体" w:eastAsia="方正小标宋简体" w:cs="方正小标宋简体"/>
          <w:sz w:val="44"/>
          <w:szCs w:val="44"/>
          <w:lang w:val="en-US" w:eastAsia="zh-CN"/>
        </w:rPr>
        <w:sectPr>
          <w:footerReference r:id="rId6" w:type="default"/>
          <w:pgSz w:w="11906" w:h="16838"/>
          <w:pgMar w:top="1702" w:right="1133" w:bottom="993"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63AB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8A494DB">
      <w:pPr>
        <w:pStyle w:val="14"/>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委托授权书</w:t>
      </w:r>
    </w:p>
    <w:p w14:paraId="1BE5B7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14:paraId="4757F9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lang w:val="en-US" w:eastAsia="zh-CN"/>
        </w:rPr>
        <w:t>南宁市工人文化宫</w:t>
      </w:r>
    </w:p>
    <w:p w14:paraId="570E6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本授权书声明：</w:t>
      </w:r>
      <w:r>
        <w:rPr>
          <w:rFonts w:hint="eastAsia" w:ascii="仿宋_GB2312" w:hAnsi="仿宋_GB2312" w:eastAsia="仿宋_GB2312" w:cs="仿宋_GB2312"/>
          <w:kern w:val="0"/>
          <w:sz w:val="32"/>
          <w:szCs w:val="32"/>
          <w:u w:val="single"/>
        </w:rPr>
        <w:t>（法定代表人姓名）</w:t>
      </w:r>
      <w:r>
        <w:rPr>
          <w:rFonts w:hint="eastAsia" w:ascii="仿宋_GB2312" w:hAnsi="仿宋_GB2312" w:eastAsia="仿宋_GB2312" w:cs="仿宋_GB2312"/>
          <w:kern w:val="0"/>
          <w:sz w:val="32"/>
          <w:szCs w:val="32"/>
        </w:rPr>
        <w:t>是注册于</w:t>
      </w:r>
      <w:r>
        <w:rPr>
          <w:rFonts w:hint="eastAsia" w:ascii="仿宋_GB2312" w:hAnsi="仿宋_GB2312" w:eastAsia="仿宋_GB2312" w:cs="仿宋_GB2312"/>
          <w:kern w:val="0"/>
          <w:sz w:val="32"/>
          <w:szCs w:val="32"/>
          <w:u w:val="single"/>
        </w:rPr>
        <w:t>（省、市、县）</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（报价人</w:t>
      </w:r>
      <w:r>
        <w:rPr>
          <w:rFonts w:hint="eastAsia" w:ascii="仿宋_GB2312" w:hAnsi="仿宋_GB2312" w:eastAsia="仿宋_GB2312" w:cs="仿宋_GB2312"/>
          <w:kern w:val="0"/>
          <w:sz w:val="32"/>
          <w:szCs w:val="32"/>
          <w:u w:val="single"/>
          <w:lang w:val="en-US" w:eastAsia="zh-CN"/>
        </w:rPr>
        <w:t>公司</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rPr>
        <w:t>的法定代表人，现任</w:t>
      </w:r>
      <w:r>
        <w:rPr>
          <w:rFonts w:hint="eastAsia" w:ascii="仿宋_GB2312" w:hAnsi="仿宋_GB2312" w:eastAsia="仿宋_GB2312" w:cs="仿宋_GB2312"/>
          <w:kern w:val="0"/>
          <w:sz w:val="32"/>
          <w:szCs w:val="32"/>
          <w:u w:val="single"/>
        </w:rPr>
        <w:t>（法定代表人职务）</w:t>
      </w:r>
      <w:r>
        <w:rPr>
          <w:rFonts w:hint="eastAsia" w:ascii="仿宋_GB2312" w:hAnsi="仿宋_GB2312" w:eastAsia="仿宋_GB2312" w:cs="仿宋_GB2312"/>
          <w:kern w:val="0"/>
          <w:sz w:val="32"/>
          <w:szCs w:val="32"/>
        </w:rPr>
        <w:t>，在此授权委托</w:t>
      </w:r>
      <w:r>
        <w:rPr>
          <w:rFonts w:hint="eastAsia" w:ascii="仿宋_GB2312" w:hAnsi="仿宋_GB2312" w:eastAsia="仿宋_GB2312" w:cs="仿宋_GB2312"/>
          <w:kern w:val="0"/>
          <w:sz w:val="32"/>
          <w:szCs w:val="32"/>
          <w:u w:val="single"/>
        </w:rPr>
        <w:t>（单位、职务）</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（姓名）（身份证号码）</w:t>
      </w:r>
      <w:r>
        <w:rPr>
          <w:rFonts w:hint="eastAsia" w:ascii="仿宋_GB2312" w:hAnsi="仿宋_GB2312" w:eastAsia="仿宋_GB2312" w:cs="仿宋_GB2312"/>
          <w:kern w:val="0"/>
          <w:sz w:val="32"/>
          <w:szCs w:val="32"/>
        </w:rPr>
        <w:t>为我方全权代理人，</w:t>
      </w:r>
      <w:r>
        <w:rPr>
          <w:rFonts w:hint="eastAsia" w:ascii="仿宋_GB2312" w:hAnsi="仿宋_GB2312" w:eastAsia="仿宋_GB2312" w:cs="仿宋_GB2312"/>
          <w:kern w:val="0"/>
          <w:sz w:val="32"/>
          <w:szCs w:val="32"/>
          <w:u w:val="none"/>
        </w:rPr>
        <w:t>在</w:t>
      </w:r>
      <w:r>
        <w:rPr>
          <w:rFonts w:hint="eastAsia" w:ascii="仿宋_GB2312" w:hAnsi="仿宋_GB2312" w:eastAsia="仿宋_GB2312" w:cs="仿宋_GB2312"/>
          <w:sz w:val="32"/>
          <w:szCs w:val="32"/>
          <w:u w:val="single"/>
          <w:lang w:val="en-US" w:eastAsia="zh-CN"/>
        </w:rPr>
        <w:t>南宁市工人文化宫2024年度画册设计制作</w:t>
      </w:r>
      <w:r>
        <w:rPr>
          <w:rFonts w:hint="eastAsia" w:ascii="仿宋_GB2312" w:hAnsi="仿宋_GB2312" w:eastAsia="仿宋_GB2312" w:cs="仿宋_GB2312"/>
          <w:kern w:val="0"/>
          <w:sz w:val="32"/>
          <w:szCs w:val="32"/>
          <w:u w:val="single"/>
        </w:rPr>
        <w:t>项目</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en-US" w:eastAsia="zh-CN"/>
        </w:rPr>
        <w:t>报价</w:t>
      </w:r>
      <w:r>
        <w:rPr>
          <w:rFonts w:hint="eastAsia" w:ascii="仿宋_GB2312" w:hAnsi="仿宋_GB2312" w:eastAsia="仿宋_GB2312" w:cs="仿宋_GB2312"/>
          <w:kern w:val="0"/>
          <w:sz w:val="32"/>
          <w:szCs w:val="32"/>
        </w:rPr>
        <w:t>活动及其合同执行过程中，以我方的名义处理一切与之有关的事务。</w:t>
      </w:r>
    </w:p>
    <w:p w14:paraId="21786E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代理人根据授权，以我方名义签署的一切文件和处理与之有关的一切事务，我司均予以承认并承担一切责任。</w:t>
      </w:r>
    </w:p>
    <w:p w14:paraId="4BD261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代理人无权转委托。</w:t>
      </w:r>
    </w:p>
    <w:p w14:paraId="205DE345">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特此委托。</w:t>
      </w:r>
    </w:p>
    <w:p w14:paraId="232C15D4">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14:paraId="34FFBE9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日签字生效，特此声明。</w:t>
      </w:r>
    </w:p>
    <w:p w14:paraId="17466330">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14:paraId="7B5B3770">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14:paraId="3D9D189E">
      <w:pPr>
        <w:pStyle w:val="14"/>
        <w:keepNext w:val="0"/>
        <w:keepLines w:val="0"/>
        <w:pageBreakBefore w:val="0"/>
        <w:widowControl w:val="0"/>
        <w:kinsoku/>
        <w:wordWrap/>
        <w:overflowPunct/>
        <w:topLinePunct w:val="0"/>
        <w:bidi w:val="0"/>
        <w:snapToGrid/>
        <w:spacing w:line="560" w:lineRule="exact"/>
        <w:ind w:firstLine="3520" w:firstLineChars="11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报价单位（盖章）：</w:t>
      </w:r>
    </w:p>
    <w:p w14:paraId="0F7A20B1">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法定代表人（签字或盖章）：</w:t>
      </w:r>
    </w:p>
    <w:p w14:paraId="078081ED">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委托代理人（签字或盖章）：</w:t>
      </w:r>
    </w:p>
    <w:p w14:paraId="6F0B74D9">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日</w:t>
      </w:r>
    </w:p>
    <w:p w14:paraId="2E2918C0"/>
    <w:sectPr>
      <w:pgSz w:w="11906" w:h="16838"/>
      <w:pgMar w:top="1702" w:right="1133" w:bottom="993"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AC9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A8797">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22A8797">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59AF">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5B566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B5B566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2A85">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45B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45B2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1AD25D4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EBE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30AB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A30AB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06736"/>
    <w:rsid w:val="00307A95"/>
    <w:rsid w:val="00502668"/>
    <w:rsid w:val="00E645F8"/>
    <w:rsid w:val="01853E11"/>
    <w:rsid w:val="03DE5A5A"/>
    <w:rsid w:val="05CA273A"/>
    <w:rsid w:val="076F5347"/>
    <w:rsid w:val="079F3753"/>
    <w:rsid w:val="07F7358F"/>
    <w:rsid w:val="082C3238"/>
    <w:rsid w:val="08774A82"/>
    <w:rsid w:val="08A92ADB"/>
    <w:rsid w:val="08FA41D6"/>
    <w:rsid w:val="091837BC"/>
    <w:rsid w:val="09D973F0"/>
    <w:rsid w:val="0A537CD6"/>
    <w:rsid w:val="0A676F60"/>
    <w:rsid w:val="0A7809B7"/>
    <w:rsid w:val="0A9B28F7"/>
    <w:rsid w:val="0BF00EAC"/>
    <w:rsid w:val="0C452A7D"/>
    <w:rsid w:val="0CC06645"/>
    <w:rsid w:val="0CCD48BE"/>
    <w:rsid w:val="0E325320"/>
    <w:rsid w:val="0E680DFB"/>
    <w:rsid w:val="0EB7278C"/>
    <w:rsid w:val="0F041CC7"/>
    <w:rsid w:val="0F5D017B"/>
    <w:rsid w:val="13712447"/>
    <w:rsid w:val="14A638A6"/>
    <w:rsid w:val="16443C66"/>
    <w:rsid w:val="17011D34"/>
    <w:rsid w:val="17321EED"/>
    <w:rsid w:val="17822E75"/>
    <w:rsid w:val="17A113D1"/>
    <w:rsid w:val="17D42FA4"/>
    <w:rsid w:val="19A608A2"/>
    <w:rsid w:val="19C239FC"/>
    <w:rsid w:val="1AA26B83"/>
    <w:rsid w:val="1CE06EA9"/>
    <w:rsid w:val="1D7D10A9"/>
    <w:rsid w:val="1DD2442A"/>
    <w:rsid w:val="1DD51824"/>
    <w:rsid w:val="1E8079E2"/>
    <w:rsid w:val="1EAE27A1"/>
    <w:rsid w:val="208C266E"/>
    <w:rsid w:val="210F0963"/>
    <w:rsid w:val="216435EB"/>
    <w:rsid w:val="21AF1B53"/>
    <w:rsid w:val="21B539C5"/>
    <w:rsid w:val="241768B6"/>
    <w:rsid w:val="24977834"/>
    <w:rsid w:val="25720FAB"/>
    <w:rsid w:val="261A687E"/>
    <w:rsid w:val="26541E80"/>
    <w:rsid w:val="270A0F62"/>
    <w:rsid w:val="27DA4607"/>
    <w:rsid w:val="288B76AF"/>
    <w:rsid w:val="29695C42"/>
    <w:rsid w:val="2A7C3754"/>
    <w:rsid w:val="2A952A67"/>
    <w:rsid w:val="2ACB6489"/>
    <w:rsid w:val="2BAC027F"/>
    <w:rsid w:val="2BB34C97"/>
    <w:rsid w:val="2C7F39CF"/>
    <w:rsid w:val="2EEF0AF1"/>
    <w:rsid w:val="30156AF1"/>
    <w:rsid w:val="30B26121"/>
    <w:rsid w:val="30D047F9"/>
    <w:rsid w:val="31857392"/>
    <w:rsid w:val="32E620B2"/>
    <w:rsid w:val="333F45AA"/>
    <w:rsid w:val="35E50E0A"/>
    <w:rsid w:val="363B0967"/>
    <w:rsid w:val="36CF10AF"/>
    <w:rsid w:val="36E20DE2"/>
    <w:rsid w:val="370435BB"/>
    <w:rsid w:val="370B658B"/>
    <w:rsid w:val="37623CD1"/>
    <w:rsid w:val="382A1CDA"/>
    <w:rsid w:val="39B747A8"/>
    <w:rsid w:val="3A1219DE"/>
    <w:rsid w:val="3AF45588"/>
    <w:rsid w:val="3B8F0229"/>
    <w:rsid w:val="3C5E54CA"/>
    <w:rsid w:val="3C695373"/>
    <w:rsid w:val="3C7A6602"/>
    <w:rsid w:val="3D956218"/>
    <w:rsid w:val="3EF85840"/>
    <w:rsid w:val="405368AD"/>
    <w:rsid w:val="408605C6"/>
    <w:rsid w:val="40A2448B"/>
    <w:rsid w:val="40AD1A2A"/>
    <w:rsid w:val="4148683F"/>
    <w:rsid w:val="416F3801"/>
    <w:rsid w:val="41C8314E"/>
    <w:rsid w:val="41EA4FEF"/>
    <w:rsid w:val="431A6296"/>
    <w:rsid w:val="43DF5027"/>
    <w:rsid w:val="43F32881"/>
    <w:rsid w:val="441427F7"/>
    <w:rsid w:val="44932709"/>
    <w:rsid w:val="44DC0C08"/>
    <w:rsid w:val="44E93C84"/>
    <w:rsid w:val="45145052"/>
    <w:rsid w:val="451B0499"/>
    <w:rsid w:val="475E2707"/>
    <w:rsid w:val="47F210A1"/>
    <w:rsid w:val="481A3FC2"/>
    <w:rsid w:val="48D6125E"/>
    <w:rsid w:val="49A60395"/>
    <w:rsid w:val="4ADB7BCB"/>
    <w:rsid w:val="4AE9678B"/>
    <w:rsid w:val="4B83098E"/>
    <w:rsid w:val="4C013C11"/>
    <w:rsid w:val="4C51283A"/>
    <w:rsid w:val="4D227D33"/>
    <w:rsid w:val="4E094A4F"/>
    <w:rsid w:val="4E604FB7"/>
    <w:rsid w:val="4EE23C1E"/>
    <w:rsid w:val="4F781E8C"/>
    <w:rsid w:val="50375852"/>
    <w:rsid w:val="504601DC"/>
    <w:rsid w:val="50854FFE"/>
    <w:rsid w:val="50A566F9"/>
    <w:rsid w:val="51120D5D"/>
    <w:rsid w:val="511D718F"/>
    <w:rsid w:val="519A258E"/>
    <w:rsid w:val="51E63A25"/>
    <w:rsid w:val="52456233"/>
    <w:rsid w:val="53F942CF"/>
    <w:rsid w:val="548412D3"/>
    <w:rsid w:val="550D751A"/>
    <w:rsid w:val="56261924"/>
    <w:rsid w:val="56C8194B"/>
    <w:rsid w:val="573430EC"/>
    <w:rsid w:val="59545718"/>
    <w:rsid w:val="59A65DF7"/>
    <w:rsid w:val="5A206736"/>
    <w:rsid w:val="5A5A0B0C"/>
    <w:rsid w:val="5ABE360E"/>
    <w:rsid w:val="5B370E4D"/>
    <w:rsid w:val="5C4D48E8"/>
    <w:rsid w:val="5C9C3660"/>
    <w:rsid w:val="5DFB2606"/>
    <w:rsid w:val="5E2B307C"/>
    <w:rsid w:val="5F8536F5"/>
    <w:rsid w:val="62092E18"/>
    <w:rsid w:val="626F711E"/>
    <w:rsid w:val="634E6C4E"/>
    <w:rsid w:val="63A63014"/>
    <w:rsid w:val="63B33763"/>
    <w:rsid w:val="64947310"/>
    <w:rsid w:val="65257F68"/>
    <w:rsid w:val="65534AD5"/>
    <w:rsid w:val="6852376A"/>
    <w:rsid w:val="6A2E5B11"/>
    <w:rsid w:val="6A7259FE"/>
    <w:rsid w:val="6AF47602"/>
    <w:rsid w:val="6AFE7291"/>
    <w:rsid w:val="6B8F25DF"/>
    <w:rsid w:val="6C3F4006"/>
    <w:rsid w:val="6D2773EB"/>
    <w:rsid w:val="6D8E283E"/>
    <w:rsid w:val="6DEC1F6B"/>
    <w:rsid w:val="6E0229BC"/>
    <w:rsid w:val="6E14737C"/>
    <w:rsid w:val="6E4771DB"/>
    <w:rsid w:val="6E8B52E0"/>
    <w:rsid w:val="6F2F210F"/>
    <w:rsid w:val="6F8859AD"/>
    <w:rsid w:val="6FE23626"/>
    <w:rsid w:val="70657DB3"/>
    <w:rsid w:val="725B60C6"/>
    <w:rsid w:val="72D03C09"/>
    <w:rsid w:val="72D37256"/>
    <w:rsid w:val="732D105C"/>
    <w:rsid w:val="73586742"/>
    <w:rsid w:val="7463506E"/>
    <w:rsid w:val="74E4399C"/>
    <w:rsid w:val="758D0A05"/>
    <w:rsid w:val="75CD2682"/>
    <w:rsid w:val="77420E4E"/>
    <w:rsid w:val="786230CA"/>
    <w:rsid w:val="786D3CA8"/>
    <w:rsid w:val="7A070125"/>
    <w:rsid w:val="7A6510DB"/>
    <w:rsid w:val="7A77565F"/>
    <w:rsid w:val="7AA15E8B"/>
    <w:rsid w:val="7B2C39A7"/>
    <w:rsid w:val="7E074257"/>
    <w:rsid w:val="7E543940"/>
    <w:rsid w:val="7EE24644"/>
    <w:rsid w:val="7F5E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autoSpaceDE w:val="0"/>
      <w:autoSpaceDN w:val="0"/>
      <w:ind w:left="880"/>
      <w:jc w:val="left"/>
    </w:pPr>
    <w:rPr>
      <w:rFonts w:ascii="宋体" w:hAnsi="宋体" w:eastAsia="宋体" w:cs="宋体"/>
      <w:kern w:val="0"/>
      <w:sz w:val="24"/>
      <w:szCs w:val="24"/>
    </w:rPr>
  </w:style>
  <w:style w:type="paragraph" w:styleId="3">
    <w:name w:val="Body Text 2"/>
    <w:basedOn w:val="1"/>
    <w:qFormat/>
    <w:uiPriority w:val="0"/>
    <w:pPr>
      <w:spacing w:after="120" w:line="480" w:lineRule="auto"/>
    </w:pPr>
  </w:style>
  <w:style w:type="paragraph" w:styleId="4">
    <w:name w:val="Body Text Indent"/>
    <w:basedOn w:val="1"/>
    <w:qFormat/>
    <w:uiPriority w:val="0"/>
    <w:pPr>
      <w:ind w:firstLine="555"/>
    </w:pPr>
    <w:rPr>
      <w:rFonts w:ascii="Calibri" w:hAnsi="Calibri"/>
    </w:rPr>
  </w:style>
  <w:style w:type="paragraph" w:styleId="5">
    <w:name w:val="Plain Text"/>
    <w:basedOn w:val="1"/>
    <w:next w:val="1"/>
    <w:qFormat/>
    <w:uiPriority w:val="99"/>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缩进_0"/>
    <w:basedOn w:val="12"/>
    <w:next w:val="12"/>
    <w:qFormat/>
    <w:uiPriority w:val="99"/>
    <w:pPr>
      <w:widowControl/>
      <w:ind w:firstLine="420"/>
      <w:jc w:val="left"/>
    </w:pPr>
    <w:rPr>
      <w:rFonts w:ascii="Calibri" w:hAnsi="Calibri"/>
      <w:sz w:val="20"/>
      <w:szCs w:val="20"/>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2971</Words>
  <Characters>3194</Characters>
  <Lines>0</Lines>
  <Paragraphs>0</Paragraphs>
  <TotalTime>324</TotalTime>
  <ScaleCrop>false</ScaleCrop>
  <LinksUpToDate>false</LinksUpToDate>
  <CharactersWithSpaces>3303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2025-02-18T07:47:00Z</dcterms:created>
  <dc:creator>嚯嚯哈嘿</dc:creator>
  <cp:lastModifiedBy>Administrator</cp:lastModifiedBy>
  <dcterms:modified xsi:type="dcterms:W3CDTF">2025-03-10T08:30:03Z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0A5F0C13A5B040B2B3A17C0EFBDBABFF_13</vt:lpwstr>
  </property>
  <property fmtid="{D5CDD505-2E9C-101B-9397-08002B2CF9AE}" pid="4" name="KSOTemplateDocerSaveRecord">
    <vt:lpwstr>eyJoZGlkIjoiZGIyY2UwNTQxMWJjN2Y0ZGQ4NjFlMzMxYTIzYzIyNTQiLCJ1c2VySWQiOiIzMDEwMjgyNjYifQ==</vt:lpwstr>
  </property>
</Properties>
</file>