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4274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7FF14C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7FC7B3E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南宁市工人文化宫恢复开放十周年特辑画册设计制作项目报价表</w:t>
      </w:r>
    </w:p>
    <w:tbl>
      <w:tblPr>
        <w:tblStyle w:val="10"/>
        <w:tblpPr w:leftFromText="180" w:rightFromText="180" w:vertAnchor="text" w:horzAnchor="page" w:tblpXSpec="center" w:tblpY="724"/>
        <w:tblOverlap w:val="never"/>
        <w:tblW w:w="140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7"/>
        <w:gridCol w:w="1392"/>
        <w:gridCol w:w="1745"/>
        <w:gridCol w:w="2114"/>
        <w:gridCol w:w="1447"/>
        <w:gridCol w:w="1962"/>
        <w:gridCol w:w="1043"/>
        <w:gridCol w:w="1275"/>
        <w:gridCol w:w="1205"/>
        <w:gridCol w:w="1050"/>
      </w:tblGrid>
      <w:tr w14:paraId="68F9C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535" w:type="dxa"/>
            <w:gridSpan w:val="5"/>
            <w:tcBorders>
              <w:bottom w:val="single" w:color="auto" w:sz="4" w:space="0"/>
              <w:right w:val="single" w:color="auto" w:sz="4" w:space="0"/>
            </w:tcBorders>
            <w:shd w:val="clear" w:color="auto" w:fill="auto"/>
            <w:vAlign w:val="center"/>
          </w:tcPr>
          <w:p w14:paraId="6BE19BB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heme="minorEastAsia" w:hAnsiTheme="minorEastAsia" w:eastAsiaTheme="minorEastAsia" w:cstheme="minorEastAsia"/>
                <w:b/>
                <w:bCs/>
                <w:color w:val="000000"/>
                <w:sz w:val="28"/>
                <w:szCs w:val="28"/>
                <w:lang w:val="en-US" w:eastAsia="zh-CN"/>
              </w:rPr>
            </w:pPr>
            <w:r>
              <w:rPr>
                <w:rFonts w:hint="eastAsia" w:asciiTheme="minorEastAsia" w:hAnsiTheme="minorEastAsia" w:cstheme="minorEastAsia"/>
                <w:b/>
                <w:bCs/>
                <w:color w:val="000000"/>
                <w:sz w:val="28"/>
                <w:szCs w:val="28"/>
                <w:lang w:val="en-US" w:eastAsia="zh-CN"/>
              </w:rPr>
              <w:t>报价单位（盖章）：</w:t>
            </w:r>
          </w:p>
        </w:tc>
        <w:tc>
          <w:tcPr>
            <w:tcW w:w="6535" w:type="dxa"/>
            <w:gridSpan w:val="5"/>
            <w:tcBorders>
              <w:left w:val="single" w:color="auto" w:sz="4" w:space="0"/>
              <w:bottom w:val="single" w:color="auto" w:sz="4" w:space="0"/>
            </w:tcBorders>
            <w:shd w:val="clear" w:color="auto" w:fill="auto"/>
            <w:vAlign w:val="center"/>
          </w:tcPr>
          <w:p w14:paraId="2B6F12E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填表人：</w:t>
            </w:r>
          </w:p>
        </w:tc>
      </w:tr>
      <w:tr w14:paraId="2BF2E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535" w:type="dxa"/>
            <w:gridSpan w:val="5"/>
            <w:tcBorders>
              <w:top w:val="single" w:color="auto" w:sz="4" w:space="0"/>
              <w:bottom w:val="single" w:color="auto" w:sz="4" w:space="0"/>
              <w:right w:val="single" w:color="auto" w:sz="4" w:space="0"/>
            </w:tcBorders>
            <w:shd w:val="clear" w:color="auto" w:fill="auto"/>
            <w:vAlign w:val="center"/>
          </w:tcPr>
          <w:p w14:paraId="394BD14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cstheme="minorEastAsia"/>
                <w:b/>
                <w:bCs/>
                <w:color w:val="000000"/>
                <w:sz w:val="28"/>
                <w:szCs w:val="28"/>
                <w:lang w:val="en-US" w:eastAsia="zh-CN"/>
              </w:rPr>
              <w:t>地址：</w:t>
            </w:r>
          </w:p>
        </w:tc>
        <w:tc>
          <w:tcPr>
            <w:tcW w:w="6535" w:type="dxa"/>
            <w:gridSpan w:val="5"/>
            <w:tcBorders>
              <w:top w:val="single" w:color="auto" w:sz="4" w:space="0"/>
              <w:left w:val="single" w:color="auto" w:sz="4" w:space="0"/>
              <w:bottom w:val="single" w:color="auto" w:sz="4" w:space="0"/>
            </w:tcBorders>
            <w:shd w:val="clear" w:color="auto" w:fill="auto"/>
            <w:vAlign w:val="center"/>
          </w:tcPr>
          <w:p w14:paraId="76910D0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联系电话</w:t>
            </w:r>
            <w:r>
              <w:rPr>
                <w:rFonts w:hint="eastAsia" w:asciiTheme="minorEastAsia" w:hAnsiTheme="minorEastAsia" w:cstheme="minorEastAsia"/>
                <w:b/>
                <w:bCs/>
                <w:color w:val="000000"/>
                <w:sz w:val="28"/>
                <w:szCs w:val="28"/>
                <w:lang w:val="en-US" w:eastAsia="zh-CN"/>
              </w:rPr>
              <w:t>：</w:t>
            </w:r>
          </w:p>
        </w:tc>
      </w:tr>
      <w:tr w14:paraId="47412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37" w:type="dxa"/>
            <w:tcBorders>
              <w:top w:val="single" w:color="auto" w:sz="4" w:space="0"/>
              <w:bottom w:val="single" w:color="auto" w:sz="4" w:space="0"/>
              <w:right w:val="single" w:color="auto" w:sz="4" w:space="0"/>
            </w:tcBorders>
            <w:shd w:val="clear" w:color="auto" w:fill="auto"/>
            <w:vAlign w:val="center"/>
          </w:tcPr>
          <w:p w14:paraId="68E34B0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序号</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82D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事项名称</w:t>
            </w:r>
          </w:p>
        </w:tc>
        <w:tc>
          <w:tcPr>
            <w:tcW w:w="17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C4A8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具体内容</w:t>
            </w:r>
          </w:p>
        </w:tc>
        <w:tc>
          <w:tcPr>
            <w:tcW w:w="2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5B7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规格</w:t>
            </w:r>
          </w:p>
        </w:tc>
        <w:tc>
          <w:tcPr>
            <w:tcW w:w="34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9636A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材质（工艺）</w:t>
            </w:r>
          </w:p>
        </w:tc>
        <w:tc>
          <w:tcPr>
            <w:tcW w:w="10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83F8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数量</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ED8C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单价</w:t>
            </w:r>
          </w:p>
          <w:p w14:paraId="0F035C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color w:val="000000"/>
                <w:kern w:val="2"/>
                <w:sz w:val="28"/>
                <w:szCs w:val="28"/>
                <w:lang w:val="en-US" w:eastAsia="zh-CN" w:bidi="ar-SA"/>
              </w:rPr>
            </w:pPr>
            <w:r>
              <w:rPr>
                <w:rFonts w:hint="eastAsia" w:ascii="黑体" w:hAnsi="黑体" w:eastAsia="黑体" w:cs="黑体"/>
                <w:color w:val="000000"/>
                <w:sz w:val="28"/>
                <w:szCs w:val="28"/>
                <w:lang w:val="en-US" w:eastAsia="zh-CN"/>
              </w:rPr>
              <w:t>（含税）</w:t>
            </w:r>
          </w:p>
        </w:tc>
        <w:tc>
          <w:tcPr>
            <w:tcW w:w="1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EF0D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小计</w:t>
            </w:r>
          </w:p>
          <w:p w14:paraId="3A64543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（含税）</w:t>
            </w:r>
          </w:p>
        </w:tc>
        <w:tc>
          <w:tcPr>
            <w:tcW w:w="1050" w:type="dxa"/>
            <w:tcBorders>
              <w:top w:val="single" w:color="auto" w:sz="4" w:space="0"/>
              <w:left w:val="single" w:color="auto" w:sz="4" w:space="0"/>
              <w:bottom w:val="single" w:color="auto" w:sz="4" w:space="0"/>
            </w:tcBorders>
            <w:shd w:val="clear" w:color="auto" w:fill="auto"/>
            <w:noWrap/>
            <w:vAlign w:val="center"/>
          </w:tcPr>
          <w:p w14:paraId="7D31A29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备注</w:t>
            </w:r>
          </w:p>
        </w:tc>
      </w:tr>
      <w:tr w14:paraId="3F85E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837" w:type="dxa"/>
            <w:vMerge w:val="restart"/>
            <w:tcBorders>
              <w:top w:val="single" w:color="auto" w:sz="4" w:space="0"/>
              <w:right w:val="single" w:color="auto" w:sz="4" w:space="0"/>
            </w:tcBorders>
            <w:shd w:val="clear" w:color="auto" w:fill="auto"/>
            <w:vAlign w:val="center"/>
          </w:tcPr>
          <w:p w14:paraId="2D8189A5">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1</w:t>
            </w:r>
          </w:p>
        </w:tc>
        <w:tc>
          <w:tcPr>
            <w:tcW w:w="1392" w:type="dxa"/>
            <w:vMerge w:val="restart"/>
            <w:tcBorders>
              <w:top w:val="single" w:color="auto" w:sz="4" w:space="0"/>
              <w:left w:val="single" w:color="auto" w:sz="4" w:space="0"/>
              <w:right w:val="single" w:color="auto" w:sz="4" w:space="0"/>
            </w:tcBorders>
            <w:shd w:val="clear" w:color="auto" w:fill="auto"/>
            <w:vAlign w:val="center"/>
          </w:tcPr>
          <w:p w14:paraId="0F54EFD6">
            <w:pPr>
              <w:keepNext w:val="0"/>
              <w:keepLines w:val="0"/>
              <w:pageBreakBefore w:val="0"/>
              <w:kinsoku/>
              <w:wordWrap/>
              <w:overflowPunct/>
              <w:topLinePunct w:val="0"/>
              <w:autoSpaceDE/>
              <w:autoSpaceDN/>
              <w:bidi w:val="0"/>
              <w:adjustRightInd/>
              <w:snapToGrid/>
              <w:spacing w:line="400" w:lineRule="exact"/>
              <w:jc w:val="center"/>
              <w:rPr>
                <w:rFonts w:hint="default"/>
                <w:sz w:val="28"/>
                <w:szCs w:val="28"/>
                <w:lang w:val="en-US" w:eastAsia="zh-CN"/>
              </w:rPr>
            </w:pPr>
            <w:r>
              <w:rPr>
                <w:rFonts w:hint="eastAsia" w:ascii="仿宋_GB2312" w:hAnsi="仿宋_GB2312" w:eastAsia="仿宋_GB2312" w:cs="仿宋_GB2312"/>
                <w:b/>
                <w:bCs/>
                <w:color w:val="000000"/>
                <w:sz w:val="28"/>
                <w:szCs w:val="28"/>
                <w:lang w:val="en-US" w:eastAsia="zh-CN"/>
              </w:rPr>
              <w:t>画册设计</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27A29E18">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aps w:val="0"/>
                <w:spacing w:val="0"/>
                <w:sz w:val="28"/>
                <w:szCs w:val="28"/>
                <w:shd w:val="clear" w:fill="FFFFFF"/>
                <w:lang w:val="en-US" w:eastAsia="zh-CN"/>
              </w:rPr>
            </w:pPr>
            <w:r>
              <w:rPr>
                <w:rFonts w:hint="eastAsia" w:ascii="仿宋_GB2312" w:hAnsi="仿宋_GB2312" w:eastAsia="仿宋_GB2312" w:cs="仿宋_GB2312"/>
                <w:i w:val="0"/>
                <w:iCs w:val="0"/>
                <w:caps w:val="0"/>
                <w:spacing w:val="0"/>
                <w:sz w:val="28"/>
                <w:szCs w:val="28"/>
                <w:shd w:val="clear" w:fill="FFFFFF"/>
                <w:lang w:val="en-US" w:eastAsia="zh-CN"/>
              </w:rPr>
              <w:t>封面封底</w:t>
            </w:r>
          </w:p>
        </w:tc>
        <w:tc>
          <w:tcPr>
            <w:tcW w:w="2114" w:type="dxa"/>
            <w:vMerge w:val="restart"/>
            <w:tcBorders>
              <w:top w:val="single" w:color="auto" w:sz="4" w:space="0"/>
              <w:left w:val="single" w:color="auto" w:sz="4" w:space="0"/>
              <w:right w:val="single" w:color="auto" w:sz="4" w:space="0"/>
            </w:tcBorders>
            <w:shd w:val="clear" w:color="auto" w:fill="auto"/>
            <w:noWrap/>
            <w:vAlign w:val="center"/>
          </w:tcPr>
          <w:p w14:paraId="761FC802">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i w:val="0"/>
                <w:iCs w:val="0"/>
                <w:caps w:val="0"/>
                <w:spacing w:val="0"/>
                <w:sz w:val="28"/>
                <w:szCs w:val="28"/>
                <w:shd w:val="clear" w:fill="FFFFFF"/>
              </w:rPr>
              <w:t>210mm×2</w:t>
            </w:r>
            <w:r>
              <w:rPr>
                <w:rFonts w:hint="eastAsia" w:ascii="仿宋_GB2312" w:hAnsi="仿宋_GB2312" w:eastAsia="仿宋_GB2312" w:cs="仿宋_GB2312"/>
                <w:i w:val="0"/>
                <w:iCs w:val="0"/>
                <w:caps w:val="0"/>
                <w:spacing w:val="0"/>
                <w:sz w:val="28"/>
                <w:szCs w:val="28"/>
                <w:shd w:val="clear" w:fill="FFFFFF"/>
                <w:lang w:val="en-US" w:eastAsia="zh-CN"/>
              </w:rPr>
              <w:t>97</w:t>
            </w:r>
            <w:r>
              <w:rPr>
                <w:rFonts w:hint="eastAsia" w:ascii="仿宋_GB2312" w:hAnsi="仿宋_GB2312" w:eastAsia="仿宋_GB2312" w:cs="仿宋_GB2312"/>
                <w:i w:val="0"/>
                <w:iCs w:val="0"/>
                <w:caps w:val="0"/>
                <w:spacing w:val="0"/>
                <w:sz w:val="28"/>
                <w:szCs w:val="28"/>
                <w:shd w:val="clear" w:fill="FFFFFF"/>
              </w:rPr>
              <w:t>mm</w:t>
            </w:r>
          </w:p>
        </w:tc>
        <w:tc>
          <w:tcPr>
            <w:tcW w:w="3409" w:type="dxa"/>
            <w:gridSpan w:val="2"/>
            <w:vMerge w:val="restart"/>
            <w:tcBorders>
              <w:top w:val="single" w:color="auto" w:sz="4" w:space="0"/>
              <w:left w:val="single" w:color="auto" w:sz="4" w:space="0"/>
              <w:right w:val="single" w:color="auto" w:sz="4" w:space="0"/>
            </w:tcBorders>
            <w:shd w:val="clear" w:color="auto" w:fill="auto"/>
            <w:noWrap/>
            <w:vAlign w:val="center"/>
          </w:tcPr>
          <w:p w14:paraId="0EF42713">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i w:val="0"/>
                <w:iCs w:val="0"/>
                <w:caps w:val="0"/>
                <w:spacing w:val="0"/>
                <w:sz w:val="28"/>
                <w:szCs w:val="28"/>
                <w:shd w:val="clear" w:fill="FFFFFF"/>
                <w:lang w:val="en-US" w:eastAsia="zh-CN"/>
              </w:rPr>
              <w:t>采用Adobe Illustrator矢量图设计软件或 CorelDRAW专业图形设计软件</w:t>
            </w:r>
          </w:p>
        </w:tc>
        <w:tc>
          <w:tcPr>
            <w:tcW w:w="10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A12C7">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2页</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FD94E">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kern w:val="2"/>
                <w:sz w:val="28"/>
                <w:szCs w:val="28"/>
                <w:lang w:val="en-US" w:eastAsia="zh-CN" w:bidi="ar-SA"/>
              </w:rPr>
            </w:pPr>
          </w:p>
        </w:tc>
        <w:tc>
          <w:tcPr>
            <w:tcW w:w="1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95A7C">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kern w:val="2"/>
                <w:sz w:val="28"/>
                <w:szCs w:val="28"/>
                <w:lang w:val="en-US" w:eastAsia="zh-CN" w:bidi="ar-SA"/>
              </w:rPr>
            </w:pPr>
          </w:p>
        </w:tc>
        <w:tc>
          <w:tcPr>
            <w:tcW w:w="1050" w:type="dxa"/>
            <w:tcBorders>
              <w:top w:val="single" w:color="auto" w:sz="4" w:space="0"/>
              <w:left w:val="single" w:color="auto" w:sz="4" w:space="0"/>
              <w:bottom w:val="single" w:color="auto" w:sz="4" w:space="0"/>
            </w:tcBorders>
            <w:shd w:val="clear" w:color="auto" w:fill="auto"/>
            <w:vAlign w:val="center"/>
          </w:tcPr>
          <w:p w14:paraId="7378F186">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p>
        </w:tc>
      </w:tr>
      <w:tr w14:paraId="5EF8D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837" w:type="dxa"/>
            <w:vMerge w:val="continue"/>
            <w:tcBorders>
              <w:right w:val="single" w:color="auto" w:sz="4" w:space="0"/>
            </w:tcBorders>
            <w:shd w:val="clear" w:color="auto" w:fill="auto"/>
            <w:vAlign w:val="center"/>
          </w:tcPr>
          <w:p w14:paraId="0A429510">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p>
        </w:tc>
        <w:tc>
          <w:tcPr>
            <w:tcW w:w="1392" w:type="dxa"/>
            <w:vMerge w:val="continue"/>
            <w:tcBorders>
              <w:left w:val="single" w:color="auto" w:sz="4" w:space="0"/>
              <w:right w:val="single" w:color="auto" w:sz="4" w:space="0"/>
            </w:tcBorders>
            <w:shd w:val="clear" w:color="auto" w:fill="auto"/>
            <w:vAlign w:val="center"/>
          </w:tcPr>
          <w:p w14:paraId="46D45737">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44998988">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aps w:val="0"/>
                <w:spacing w:val="0"/>
                <w:sz w:val="28"/>
                <w:szCs w:val="28"/>
                <w:shd w:val="clear" w:fill="FFFFFF"/>
                <w:lang w:val="en-US" w:eastAsia="zh-CN"/>
              </w:rPr>
            </w:pPr>
            <w:r>
              <w:rPr>
                <w:rFonts w:hint="eastAsia" w:ascii="仿宋_GB2312" w:hAnsi="仿宋_GB2312" w:eastAsia="仿宋_GB2312" w:cs="仿宋_GB2312"/>
                <w:i w:val="0"/>
                <w:iCs w:val="0"/>
                <w:caps w:val="0"/>
                <w:spacing w:val="0"/>
                <w:sz w:val="28"/>
                <w:szCs w:val="28"/>
                <w:shd w:val="clear" w:fill="FFFFFF"/>
                <w:lang w:val="en-US" w:eastAsia="zh-CN"/>
              </w:rPr>
              <w:t>章节页</w:t>
            </w:r>
          </w:p>
        </w:tc>
        <w:tc>
          <w:tcPr>
            <w:tcW w:w="2114" w:type="dxa"/>
            <w:vMerge w:val="continue"/>
            <w:tcBorders>
              <w:left w:val="single" w:color="auto" w:sz="4" w:space="0"/>
              <w:right w:val="single" w:color="auto" w:sz="4" w:space="0"/>
            </w:tcBorders>
            <w:shd w:val="clear" w:color="auto" w:fill="auto"/>
            <w:noWrap/>
            <w:vAlign w:val="center"/>
          </w:tcPr>
          <w:p w14:paraId="0C7527BA">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aps w:val="0"/>
                <w:spacing w:val="0"/>
                <w:sz w:val="28"/>
                <w:szCs w:val="28"/>
                <w:shd w:val="clear" w:fill="FFFFFF"/>
              </w:rPr>
            </w:pPr>
          </w:p>
        </w:tc>
        <w:tc>
          <w:tcPr>
            <w:tcW w:w="3409" w:type="dxa"/>
            <w:gridSpan w:val="2"/>
            <w:vMerge w:val="continue"/>
            <w:tcBorders>
              <w:left w:val="single" w:color="auto" w:sz="4" w:space="0"/>
              <w:right w:val="single" w:color="auto" w:sz="4" w:space="0"/>
            </w:tcBorders>
            <w:shd w:val="clear" w:color="auto" w:fill="auto"/>
            <w:noWrap/>
            <w:vAlign w:val="center"/>
          </w:tcPr>
          <w:p w14:paraId="3FD0F55A">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aps w:val="0"/>
                <w:spacing w:val="0"/>
                <w:sz w:val="28"/>
                <w:szCs w:val="28"/>
                <w:shd w:val="clear" w:fill="FFFFFF"/>
                <w:lang w:val="en-US" w:eastAsia="zh-CN"/>
              </w:rPr>
            </w:pPr>
          </w:p>
        </w:tc>
        <w:tc>
          <w:tcPr>
            <w:tcW w:w="10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789DA">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10页</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63F39">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kern w:val="2"/>
                <w:sz w:val="28"/>
                <w:szCs w:val="28"/>
                <w:lang w:val="en-US" w:eastAsia="zh-CN" w:bidi="ar-SA"/>
              </w:rPr>
            </w:pPr>
          </w:p>
        </w:tc>
        <w:tc>
          <w:tcPr>
            <w:tcW w:w="1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9BAB2">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kern w:val="2"/>
                <w:sz w:val="28"/>
                <w:szCs w:val="28"/>
                <w:lang w:val="en-US" w:eastAsia="zh-CN" w:bidi="ar-SA"/>
              </w:rPr>
            </w:pPr>
          </w:p>
        </w:tc>
        <w:tc>
          <w:tcPr>
            <w:tcW w:w="1050" w:type="dxa"/>
            <w:tcBorders>
              <w:top w:val="single" w:color="auto" w:sz="4" w:space="0"/>
              <w:left w:val="single" w:color="auto" w:sz="4" w:space="0"/>
              <w:bottom w:val="single" w:color="auto" w:sz="4" w:space="0"/>
            </w:tcBorders>
            <w:shd w:val="clear" w:color="auto" w:fill="auto"/>
            <w:vAlign w:val="center"/>
          </w:tcPr>
          <w:p w14:paraId="76D2D60B">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p>
        </w:tc>
      </w:tr>
      <w:tr w14:paraId="4D341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837" w:type="dxa"/>
            <w:vMerge w:val="continue"/>
            <w:tcBorders>
              <w:bottom w:val="single" w:color="auto" w:sz="4" w:space="0"/>
              <w:right w:val="single" w:color="auto" w:sz="4" w:space="0"/>
            </w:tcBorders>
            <w:shd w:val="clear" w:color="auto" w:fill="auto"/>
            <w:vAlign w:val="center"/>
          </w:tcPr>
          <w:p w14:paraId="49600CA2">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p>
        </w:tc>
        <w:tc>
          <w:tcPr>
            <w:tcW w:w="1392" w:type="dxa"/>
            <w:vMerge w:val="continue"/>
            <w:tcBorders>
              <w:left w:val="single" w:color="auto" w:sz="4" w:space="0"/>
              <w:bottom w:val="single" w:color="auto" w:sz="4" w:space="0"/>
              <w:right w:val="single" w:color="auto" w:sz="4" w:space="0"/>
            </w:tcBorders>
            <w:shd w:val="clear" w:color="auto" w:fill="auto"/>
            <w:vAlign w:val="center"/>
          </w:tcPr>
          <w:p w14:paraId="700FCFD0">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6B515428">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aps w:val="0"/>
                <w:spacing w:val="0"/>
                <w:sz w:val="28"/>
                <w:szCs w:val="28"/>
                <w:shd w:val="clear" w:fill="FFFFFF"/>
                <w:lang w:val="en-US" w:eastAsia="zh-CN"/>
              </w:rPr>
            </w:pPr>
            <w:r>
              <w:rPr>
                <w:rFonts w:hint="eastAsia" w:ascii="仿宋_GB2312" w:hAnsi="仿宋_GB2312" w:eastAsia="仿宋_GB2312" w:cs="仿宋_GB2312"/>
                <w:i w:val="0"/>
                <w:iCs w:val="0"/>
                <w:caps w:val="0"/>
                <w:spacing w:val="0"/>
                <w:sz w:val="28"/>
                <w:szCs w:val="28"/>
                <w:shd w:val="clear" w:fill="FFFFFF"/>
                <w:lang w:val="en-US" w:eastAsia="zh-CN"/>
              </w:rPr>
              <w:t>普通单页</w:t>
            </w:r>
          </w:p>
        </w:tc>
        <w:tc>
          <w:tcPr>
            <w:tcW w:w="2114" w:type="dxa"/>
            <w:vMerge w:val="continue"/>
            <w:tcBorders>
              <w:left w:val="single" w:color="auto" w:sz="4" w:space="0"/>
              <w:bottom w:val="single" w:color="auto" w:sz="4" w:space="0"/>
              <w:right w:val="single" w:color="auto" w:sz="4" w:space="0"/>
            </w:tcBorders>
            <w:shd w:val="clear" w:color="auto" w:fill="auto"/>
            <w:noWrap/>
            <w:vAlign w:val="center"/>
          </w:tcPr>
          <w:p w14:paraId="02570507">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aps w:val="0"/>
                <w:spacing w:val="0"/>
                <w:sz w:val="28"/>
                <w:szCs w:val="28"/>
                <w:shd w:val="clear" w:fill="FFFFFF"/>
              </w:rPr>
            </w:pPr>
          </w:p>
        </w:tc>
        <w:tc>
          <w:tcPr>
            <w:tcW w:w="3409" w:type="dxa"/>
            <w:gridSpan w:val="2"/>
            <w:vMerge w:val="continue"/>
            <w:tcBorders>
              <w:left w:val="single" w:color="auto" w:sz="4" w:space="0"/>
              <w:bottom w:val="single" w:color="auto" w:sz="4" w:space="0"/>
              <w:right w:val="single" w:color="auto" w:sz="4" w:space="0"/>
            </w:tcBorders>
            <w:shd w:val="clear" w:color="auto" w:fill="auto"/>
            <w:noWrap/>
            <w:vAlign w:val="center"/>
          </w:tcPr>
          <w:p w14:paraId="116221E2">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aps w:val="0"/>
                <w:spacing w:val="0"/>
                <w:sz w:val="28"/>
                <w:szCs w:val="28"/>
                <w:shd w:val="clear" w:fill="FFFFFF"/>
                <w:lang w:val="en-US" w:eastAsia="zh-CN"/>
              </w:rPr>
            </w:pPr>
          </w:p>
        </w:tc>
        <w:tc>
          <w:tcPr>
            <w:tcW w:w="10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61BC0">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68页</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B8C41">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kern w:val="2"/>
                <w:sz w:val="28"/>
                <w:szCs w:val="28"/>
                <w:lang w:val="en-US" w:eastAsia="zh-CN" w:bidi="ar-SA"/>
              </w:rPr>
            </w:pPr>
          </w:p>
        </w:tc>
        <w:tc>
          <w:tcPr>
            <w:tcW w:w="1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A9ED5">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kern w:val="2"/>
                <w:sz w:val="28"/>
                <w:szCs w:val="28"/>
                <w:lang w:val="en-US" w:eastAsia="zh-CN" w:bidi="ar-SA"/>
              </w:rPr>
            </w:pPr>
          </w:p>
        </w:tc>
        <w:tc>
          <w:tcPr>
            <w:tcW w:w="1050" w:type="dxa"/>
            <w:tcBorders>
              <w:top w:val="single" w:color="auto" w:sz="4" w:space="0"/>
              <w:left w:val="single" w:color="auto" w:sz="4" w:space="0"/>
              <w:bottom w:val="single" w:color="auto" w:sz="4" w:space="0"/>
            </w:tcBorders>
            <w:shd w:val="clear" w:color="auto" w:fill="auto"/>
            <w:vAlign w:val="center"/>
          </w:tcPr>
          <w:p w14:paraId="1691F433">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p>
        </w:tc>
      </w:tr>
      <w:tr w14:paraId="53934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837" w:type="dxa"/>
            <w:tcBorders>
              <w:top w:val="single" w:color="auto" w:sz="4" w:space="0"/>
              <w:bottom w:val="single" w:color="auto" w:sz="4" w:space="0"/>
              <w:right w:val="single" w:color="auto" w:sz="4" w:space="0"/>
            </w:tcBorders>
            <w:shd w:val="clear" w:color="auto" w:fill="auto"/>
            <w:vAlign w:val="center"/>
          </w:tcPr>
          <w:p w14:paraId="38CE6544">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2</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527DEC8D">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图片处理</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5115CFAB">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iCs w:val="0"/>
                <w:caps w:val="0"/>
                <w:spacing w:val="0"/>
                <w:sz w:val="28"/>
                <w:szCs w:val="28"/>
                <w:shd w:val="clear" w:fill="FFFFFF"/>
                <w:lang w:val="en-US" w:eastAsia="zh-CN"/>
              </w:rPr>
            </w:pPr>
            <w:r>
              <w:rPr>
                <w:rFonts w:hint="eastAsia" w:ascii="仿宋_GB2312" w:hAnsi="仿宋_GB2312" w:eastAsia="仿宋_GB2312" w:cs="仿宋_GB2312"/>
                <w:i w:val="0"/>
                <w:iCs w:val="0"/>
                <w:caps w:val="0"/>
                <w:spacing w:val="0"/>
                <w:sz w:val="28"/>
                <w:szCs w:val="28"/>
                <w:shd w:val="clear" w:fill="FFFFFF"/>
                <w:lang w:val="en-US" w:eastAsia="zh-CN"/>
              </w:rPr>
              <w:t>/</w:t>
            </w:r>
          </w:p>
        </w:tc>
        <w:tc>
          <w:tcPr>
            <w:tcW w:w="2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06501">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aps w:val="0"/>
                <w:spacing w:val="0"/>
                <w:sz w:val="28"/>
                <w:szCs w:val="28"/>
                <w:shd w:val="clear" w:fill="FFFFFF"/>
                <w:lang w:val="en-US" w:eastAsia="zh-CN"/>
              </w:rPr>
            </w:pPr>
            <w:r>
              <w:rPr>
                <w:rFonts w:hint="eastAsia" w:ascii="仿宋_GB2312" w:hAnsi="仿宋_GB2312" w:eastAsia="仿宋_GB2312" w:cs="仿宋_GB2312"/>
                <w:i w:val="0"/>
                <w:iCs w:val="0"/>
                <w:caps w:val="0"/>
                <w:spacing w:val="0"/>
                <w:sz w:val="28"/>
                <w:szCs w:val="28"/>
                <w:shd w:val="clear" w:fill="FFFFFF"/>
                <w:lang w:val="en-US" w:eastAsia="zh-CN"/>
              </w:rPr>
              <w:t>分辨率300dpi，</w:t>
            </w:r>
            <w:r>
              <w:rPr>
                <w:rFonts w:hint="eastAsia" w:ascii="仿宋_GB2312" w:hAnsi="仿宋_GB2312" w:eastAsia="仿宋_GB2312" w:cs="仿宋_GB2312"/>
                <w:i w:val="0"/>
                <w:iCs w:val="0"/>
                <w:caps w:val="0"/>
                <w:spacing w:val="0"/>
                <w:sz w:val="28"/>
                <w:szCs w:val="28"/>
                <w:shd w:val="clear" w:fill="FFFFFF"/>
                <w:lang w:val="en-US" w:eastAsia="zh-CN"/>
              </w:rPr>
              <w:br w:type="textWrapping"/>
            </w:r>
            <w:r>
              <w:rPr>
                <w:rFonts w:hint="eastAsia" w:ascii="仿宋_GB2312" w:hAnsi="仿宋_GB2312" w:eastAsia="仿宋_GB2312" w:cs="仿宋_GB2312"/>
                <w:i w:val="0"/>
                <w:iCs w:val="0"/>
                <w:caps w:val="0"/>
                <w:spacing w:val="0"/>
                <w:sz w:val="28"/>
                <w:szCs w:val="28"/>
                <w:shd w:val="clear" w:fill="FFFFFF"/>
                <w:lang w:val="en-US" w:eastAsia="zh-CN"/>
              </w:rPr>
              <w:t>图片短边像素2480+像素</w:t>
            </w:r>
          </w:p>
        </w:tc>
        <w:tc>
          <w:tcPr>
            <w:tcW w:w="34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43FA18">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aps w:val="0"/>
                <w:spacing w:val="0"/>
                <w:sz w:val="28"/>
                <w:szCs w:val="28"/>
                <w:shd w:val="clear" w:fill="FFFFFF"/>
                <w:lang w:val="en-US" w:eastAsia="zh-CN"/>
              </w:rPr>
            </w:pPr>
            <w:r>
              <w:rPr>
                <w:rFonts w:hint="eastAsia" w:ascii="仿宋_GB2312" w:hAnsi="仿宋_GB2312" w:eastAsia="仿宋_GB2312" w:cs="仿宋_GB2312"/>
                <w:i w:val="0"/>
                <w:iCs w:val="0"/>
                <w:caps w:val="0"/>
                <w:spacing w:val="0"/>
                <w:sz w:val="28"/>
                <w:szCs w:val="28"/>
                <w:shd w:val="clear" w:fill="FFFFFF"/>
                <w:lang w:val="en-US" w:eastAsia="zh-CN"/>
              </w:rPr>
              <w:t>部分照片需要后期处理，采用AdobeBridg 、AdobeLightroom、AdobePhotoshop、像素蛋糕专业影像处理软件、AI软件等为图片做后期美化</w:t>
            </w:r>
          </w:p>
        </w:tc>
        <w:tc>
          <w:tcPr>
            <w:tcW w:w="10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898E0">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1套</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B7F87">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kern w:val="2"/>
                <w:sz w:val="28"/>
                <w:szCs w:val="28"/>
                <w:lang w:val="en-US" w:eastAsia="zh-CN" w:bidi="ar-SA"/>
              </w:rPr>
            </w:pPr>
          </w:p>
        </w:tc>
        <w:tc>
          <w:tcPr>
            <w:tcW w:w="1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E6625">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kern w:val="2"/>
                <w:sz w:val="28"/>
                <w:szCs w:val="28"/>
                <w:lang w:val="en-US" w:eastAsia="zh-CN" w:bidi="ar-SA"/>
              </w:rPr>
            </w:pPr>
          </w:p>
        </w:tc>
        <w:tc>
          <w:tcPr>
            <w:tcW w:w="1050" w:type="dxa"/>
            <w:tcBorders>
              <w:top w:val="single" w:color="auto" w:sz="4" w:space="0"/>
              <w:left w:val="single" w:color="auto" w:sz="4" w:space="0"/>
              <w:bottom w:val="single" w:color="auto" w:sz="4" w:space="0"/>
            </w:tcBorders>
            <w:shd w:val="clear" w:color="auto" w:fill="auto"/>
            <w:vAlign w:val="center"/>
          </w:tcPr>
          <w:p w14:paraId="399E1F45">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p>
        </w:tc>
      </w:tr>
      <w:tr w14:paraId="5491B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837" w:type="dxa"/>
            <w:tcBorders>
              <w:top w:val="single" w:color="auto" w:sz="4" w:space="0"/>
              <w:bottom w:val="single" w:color="auto" w:sz="4" w:space="0"/>
              <w:right w:val="single" w:color="auto" w:sz="4" w:space="0"/>
            </w:tcBorders>
            <w:shd w:val="clear" w:color="auto" w:fill="auto"/>
            <w:vAlign w:val="center"/>
          </w:tcPr>
          <w:p w14:paraId="11FC6066">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3</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25740D65">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画册打样</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0DCDCC84">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iCs w:val="0"/>
                <w:caps w:val="0"/>
                <w:spacing w:val="0"/>
                <w:sz w:val="28"/>
                <w:szCs w:val="28"/>
                <w:shd w:val="clear" w:fill="FFFFFF"/>
                <w:lang w:val="en-US" w:eastAsia="zh-CN"/>
              </w:rPr>
            </w:pPr>
            <w:r>
              <w:rPr>
                <w:rFonts w:hint="eastAsia" w:ascii="仿宋_GB2312" w:hAnsi="仿宋_GB2312" w:eastAsia="仿宋_GB2312" w:cs="仿宋_GB2312"/>
                <w:i w:val="0"/>
                <w:iCs w:val="0"/>
                <w:caps w:val="0"/>
                <w:spacing w:val="0"/>
                <w:sz w:val="28"/>
                <w:szCs w:val="28"/>
                <w:shd w:val="clear" w:fill="FFFFFF"/>
                <w:lang w:val="en-US" w:eastAsia="zh-CN"/>
              </w:rPr>
              <w:t>/</w:t>
            </w:r>
          </w:p>
        </w:tc>
        <w:tc>
          <w:tcPr>
            <w:tcW w:w="2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B1BA9">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aps w:val="0"/>
                <w:spacing w:val="0"/>
                <w:sz w:val="28"/>
                <w:szCs w:val="28"/>
                <w:shd w:val="clear" w:fill="FFFFFF"/>
                <w:lang w:val="en-US" w:eastAsia="zh-CN"/>
              </w:rPr>
            </w:pPr>
            <w:r>
              <w:rPr>
                <w:rFonts w:hint="eastAsia" w:ascii="仿宋_GB2312" w:hAnsi="仿宋_GB2312" w:eastAsia="仿宋_GB2312" w:cs="仿宋_GB2312"/>
                <w:i w:val="0"/>
                <w:iCs w:val="0"/>
                <w:caps w:val="0"/>
                <w:spacing w:val="0"/>
                <w:sz w:val="28"/>
                <w:szCs w:val="28"/>
                <w:shd w:val="clear" w:fill="FFFFFF"/>
                <w:lang w:val="en-US" w:eastAsia="zh-CN"/>
              </w:rPr>
              <w:t>210mm×297mm</w:t>
            </w:r>
          </w:p>
        </w:tc>
        <w:tc>
          <w:tcPr>
            <w:tcW w:w="34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12D3EC">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aps w:val="0"/>
                <w:spacing w:val="0"/>
                <w:sz w:val="28"/>
                <w:szCs w:val="28"/>
                <w:shd w:val="clear" w:fill="FFFFFF"/>
                <w:lang w:val="en-US" w:eastAsia="zh-CN"/>
              </w:rPr>
            </w:pPr>
            <w:r>
              <w:rPr>
                <w:rFonts w:hint="eastAsia" w:ascii="仿宋_GB2312" w:hAnsi="仿宋_GB2312" w:eastAsia="仿宋_GB2312" w:cs="仿宋_GB2312"/>
                <w:i w:val="0"/>
                <w:iCs w:val="0"/>
                <w:caps w:val="0"/>
                <w:spacing w:val="0"/>
                <w:sz w:val="28"/>
                <w:szCs w:val="28"/>
                <w:shd w:val="clear" w:fill="FFFFFF"/>
                <w:lang w:val="en-US" w:eastAsia="zh-CN"/>
              </w:rPr>
              <w:t>根据画册成品材质标准印制样本</w:t>
            </w:r>
          </w:p>
        </w:tc>
        <w:tc>
          <w:tcPr>
            <w:tcW w:w="10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45F66">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1套</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03B51">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p>
        </w:tc>
        <w:tc>
          <w:tcPr>
            <w:tcW w:w="1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4D878">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p>
        </w:tc>
        <w:tc>
          <w:tcPr>
            <w:tcW w:w="1050" w:type="dxa"/>
            <w:tcBorders>
              <w:top w:val="single" w:color="auto" w:sz="4" w:space="0"/>
              <w:left w:val="single" w:color="auto" w:sz="4" w:space="0"/>
              <w:bottom w:val="single" w:color="auto" w:sz="4" w:space="0"/>
            </w:tcBorders>
            <w:shd w:val="clear" w:color="auto" w:fill="auto"/>
            <w:vAlign w:val="center"/>
          </w:tcPr>
          <w:p w14:paraId="33263457">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p>
        </w:tc>
      </w:tr>
      <w:tr w14:paraId="5F8F5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37" w:type="dxa"/>
            <w:vMerge w:val="restart"/>
            <w:tcBorders>
              <w:top w:val="single" w:color="auto" w:sz="4" w:space="0"/>
              <w:right w:val="single" w:color="auto" w:sz="4" w:space="0"/>
            </w:tcBorders>
            <w:shd w:val="clear" w:color="auto" w:fill="auto"/>
            <w:vAlign w:val="center"/>
          </w:tcPr>
          <w:p w14:paraId="0C1946E7">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4</w:t>
            </w:r>
          </w:p>
        </w:tc>
        <w:tc>
          <w:tcPr>
            <w:tcW w:w="1392" w:type="dxa"/>
            <w:vMerge w:val="restart"/>
            <w:tcBorders>
              <w:top w:val="single" w:color="auto" w:sz="4" w:space="0"/>
              <w:left w:val="single" w:color="auto" w:sz="4" w:space="0"/>
              <w:right w:val="single" w:color="auto" w:sz="4" w:space="0"/>
            </w:tcBorders>
            <w:shd w:val="clear" w:color="auto" w:fill="auto"/>
            <w:vAlign w:val="center"/>
          </w:tcPr>
          <w:p w14:paraId="32802E87">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画册印刷</w:t>
            </w:r>
          </w:p>
        </w:tc>
        <w:tc>
          <w:tcPr>
            <w:tcW w:w="1745" w:type="dxa"/>
            <w:vMerge w:val="restart"/>
            <w:tcBorders>
              <w:top w:val="single" w:color="auto" w:sz="4" w:space="0"/>
              <w:left w:val="single" w:color="auto" w:sz="4" w:space="0"/>
              <w:right w:val="single" w:color="auto" w:sz="4" w:space="0"/>
            </w:tcBorders>
            <w:shd w:val="clear" w:color="auto" w:fill="auto"/>
            <w:vAlign w:val="center"/>
          </w:tcPr>
          <w:p w14:paraId="2109A0C0">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iCs w:val="0"/>
                <w:caps w:val="0"/>
                <w:spacing w:val="0"/>
                <w:sz w:val="28"/>
                <w:szCs w:val="28"/>
                <w:shd w:val="clear" w:fill="FFFFFF"/>
                <w:lang w:val="en-US" w:eastAsia="zh-CN"/>
              </w:rPr>
            </w:pPr>
            <w:r>
              <w:rPr>
                <w:rFonts w:hint="eastAsia" w:ascii="仿宋_GB2312" w:hAnsi="仿宋_GB2312" w:eastAsia="仿宋_GB2312" w:cs="仿宋_GB2312"/>
                <w:i w:val="0"/>
                <w:iCs w:val="0"/>
                <w:caps w:val="0"/>
                <w:spacing w:val="0"/>
                <w:sz w:val="28"/>
                <w:szCs w:val="28"/>
                <w:shd w:val="clear" w:fill="FFFFFF"/>
                <w:lang w:val="en-US" w:eastAsia="zh-CN"/>
              </w:rPr>
              <w:t>/</w:t>
            </w:r>
          </w:p>
        </w:tc>
        <w:tc>
          <w:tcPr>
            <w:tcW w:w="2114" w:type="dxa"/>
            <w:vMerge w:val="restart"/>
            <w:tcBorders>
              <w:top w:val="single" w:color="auto" w:sz="4" w:space="0"/>
              <w:left w:val="single" w:color="auto" w:sz="4" w:space="0"/>
              <w:right w:val="single" w:color="auto" w:sz="4" w:space="0"/>
            </w:tcBorders>
            <w:shd w:val="clear" w:color="auto" w:fill="auto"/>
            <w:noWrap/>
            <w:vAlign w:val="center"/>
          </w:tcPr>
          <w:p w14:paraId="39A9C9B7">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aps w:val="0"/>
                <w:spacing w:val="0"/>
                <w:sz w:val="28"/>
                <w:szCs w:val="28"/>
                <w:shd w:val="clear" w:fill="FFFFFF"/>
                <w:lang w:val="en-US" w:eastAsia="zh-CN"/>
              </w:rPr>
            </w:pPr>
            <w:r>
              <w:rPr>
                <w:rFonts w:hint="eastAsia" w:ascii="仿宋_GB2312" w:hAnsi="仿宋_GB2312" w:eastAsia="仿宋_GB2312" w:cs="仿宋_GB2312"/>
                <w:i w:val="0"/>
                <w:iCs w:val="0"/>
                <w:caps w:val="0"/>
                <w:spacing w:val="0"/>
                <w:sz w:val="28"/>
                <w:szCs w:val="28"/>
                <w:shd w:val="clear" w:fill="FFFFFF"/>
                <w:lang w:val="en-US" w:eastAsia="zh-CN"/>
              </w:rPr>
              <w:t>210mm×297mm</w:t>
            </w:r>
          </w:p>
        </w:tc>
        <w:tc>
          <w:tcPr>
            <w:tcW w:w="3409" w:type="dxa"/>
            <w:gridSpan w:val="2"/>
            <w:vMerge w:val="restart"/>
            <w:tcBorders>
              <w:top w:val="single" w:color="auto" w:sz="4" w:space="0"/>
              <w:left w:val="single" w:color="auto" w:sz="4" w:space="0"/>
              <w:right w:val="single" w:color="auto" w:sz="4" w:space="0"/>
            </w:tcBorders>
            <w:shd w:val="clear" w:color="auto" w:fill="auto"/>
            <w:noWrap/>
            <w:vAlign w:val="center"/>
          </w:tcPr>
          <w:p w14:paraId="20FC84B9">
            <w:pPr>
              <w:keepNext w:val="0"/>
              <w:keepLines w:val="0"/>
              <w:widowControl/>
              <w:suppressLineNumbers w:val="0"/>
              <w:jc w:val="left"/>
              <w:textAlignment w:val="center"/>
              <w:rPr>
                <w:rFonts w:hint="eastAsia" w:ascii="仿宋_GB2312" w:hAnsi="仿宋_GB2312" w:eastAsia="仿宋_GB2312" w:cs="仿宋_GB2312"/>
                <w:i w:val="0"/>
                <w:iCs w:val="0"/>
                <w:caps w:val="0"/>
                <w:spacing w:val="0"/>
                <w:sz w:val="28"/>
                <w:szCs w:val="28"/>
                <w:shd w:val="clear" w:fill="FFFFFF"/>
                <w:lang w:val="en-US" w:eastAsia="zh-CN"/>
              </w:rPr>
            </w:pPr>
            <w:r>
              <w:rPr>
                <w:rFonts w:hint="eastAsia" w:ascii="仿宋_GB2312" w:hAnsi="仿宋_GB2312" w:eastAsia="仿宋_GB2312" w:cs="仿宋_GB2312"/>
                <w:sz w:val="28"/>
                <w:szCs w:val="28"/>
              </w:rPr>
              <w:t>高清数码打印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锁线胶装，</w:t>
            </w:r>
            <w:r>
              <w:rPr>
                <w:rFonts w:hint="eastAsia" w:ascii="仿宋_GB2312" w:hAnsi="仿宋_GB2312" w:eastAsia="仿宋_GB2312" w:cs="仿宋_GB2312"/>
                <w:color w:val="auto"/>
                <w:sz w:val="28"/>
                <w:szCs w:val="28"/>
              </w:rPr>
              <w:t>封面</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i w:val="0"/>
                <w:iCs w:val="0"/>
                <w:caps w:val="0"/>
                <w:spacing w:val="0"/>
                <w:sz w:val="28"/>
                <w:szCs w:val="28"/>
                <w:shd w:val="clear" w:fill="FFFFFF"/>
                <w:lang w:val="en-US" w:eastAsia="zh-CN"/>
              </w:rPr>
              <w:t>350克特种纸+烫金+压凹/击凸+哑膜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rPr>
              <w:t>内页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157</w:t>
            </w:r>
            <w:r>
              <w:rPr>
                <w:rFonts w:hint="eastAsia" w:ascii="仿宋_GB2312" w:hAnsi="仿宋_GB2312" w:eastAsia="仿宋_GB2312" w:cs="仿宋_GB2312"/>
                <w:color w:val="auto"/>
                <w:sz w:val="28"/>
                <w:szCs w:val="28"/>
              </w:rPr>
              <w:t>克</w:t>
            </w:r>
            <w:r>
              <w:rPr>
                <w:rFonts w:hint="eastAsia" w:ascii="仿宋_GB2312" w:hAnsi="仿宋_GB2312" w:eastAsia="仿宋_GB2312" w:cs="仿宋_GB2312"/>
                <w:color w:val="auto"/>
                <w:sz w:val="28"/>
                <w:szCs w:val="28"/>
                <w:lang w:val="en-US" w:eastAsia="zh-CN"/>
              </w:rPr>
              <w:t>超感</w:t>
            </w:r>
            <w:r>
              <w:rPr>
                <w:rFonts w:hint="eastAsia" w:ascii="仿宋_GB2312" w:hAnsi="仿宋_GB2312" w:eastAsia="仿宋_GB2312" w:cs="仿宋_GB2312"/>
                <w:color w:val="auto"/>
                <w:sz w:val="28"/>
                <w:szCs w:val="28"/>
              </w:rPr>
              <w:t>纸</w:t>
            </w:r>
          </w:p>
        </w:tc>
        <w:tc>
          <w:tcPr>
            <w:tcW w:w="10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ABFA5E">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auto"/>
                <w:sz w:val="28"/>
                <w:szCs w:val="28"/>
                <w:lang w:val="en-US" w:eastAsia="zh-CN"/>
              </w:rPr>
              <w:t>100本-160本</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9F6D7">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p>
        </w:tc>
        <w:tc>
          <w:tcPr>
            <w:tcW w:w="1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06B2B">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p>
        </w:tc>
        <w:tc>
          <w:tcPr>
            <w:tcW w:w="1050" w:type="dxa"/>
            <w:vMerge w:val="restart"/>
            <w:tcBorders>
              <w:top w:val="single" w:color="auto" w:sz="4" w:space="0"/>
              <w:left w:val="single" w:color="auto" w:sz="4" w:space="0"/>
            </w:tcBorders>
            <w:shd w:val="clear" w:color="auto" w:fill="auto"/>
            <w:vAlign w:val="center"/>
          </w:tcPr>
          <w:p w14:paraId="74C92E72">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sz w:val="21"/>
                <w:szCs w:val="21"/>
                <w:lang w:val="en-US" w:eastAsia="zh-CN"/>
              </w:rPr>
              <w:t>按160本计算画册印刷总价，其余范围单价作为参考，最终以实际印刷数量结算</w:t>
            </w:r>
          </w:p>
        </w:tc>
      </w:tr>
      <w:tr w14:paraId="25772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37" w:type="dxa"/>
            <w:vMerge w:val="continue"/>
            <w:tcBorders>
              <w:right w:val="single" w:color="auto" w:sz="4" w:space="0"/>
            </w:tcBorders>
            <w:shd w:val="clear" w:color="auto" w:fill="auto"/>
            <w:vAlign w:val="center"/>
          </w:tcPr>
          <w:p w14:paraId="2C3F1B2E">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p>
        </w:tc>
        <w:tc>
          <w:tcPr>
            <w:tcW w:w="1392" w:type="dxa"/>
            <w:vMerge w:val="continue"/>
            <w:tcBorders>
              <w:left w:val="single" w:color="auto" w:sz="4" w:space="0"/>
              <w:right w:val="single" w:color="auto" w:sz="4" w:space="0"/>
            </w:tcBorders>
            <w:shd w:val="clear" w:color="auto" w:fill="auto"/>
            <w:vAlign w:val="center"/>
          </w:tcPr>
          <w:p w14:paraId="34A17AD0">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p>
        </w:tc>
        <w:tc>
          <w:tcPr>
            <w:tcW w:w="1745" w:type="dxa"/>
            <w:vMerge w:val="continue"/>
            <w:tcBorders>
              <w:left w:val="single" w:color="auto" w:sz="4" w:space="0"/>
              <w:right w:val="single" w:color="auto" w:sz="4" w:space="0"/>
            </w:tcBorders>
            <w:shd w:val="clear" w:color="auto" w:fill="auto"/>
            <w:vAlign w:val="center"/>
          </w:tcPr>
          <w:p w14:paraId="6243313A">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aps w:val="0"/>
                <w:spacing w:val="0"/>
                <w:sz w:val="28"/>
                <w:szCs w:val="28"/>
                <w:shd w:val="clear" w:fill="FFFFFF"/>
                <w:lang w:val="en-US" w:eastAsia="zh-CN"/>
              </w:rPr>
            </w:pPr>
          </w:p>
        </w:tc>
        <w:tc>
          <w:tcPr>
            <w:tcW w:w="2114" w:type="dxa"/>
            <w:vMerge w:val="continue"/>
            <w:tcBorders>
              <w:left w:val="single" w:color="auto" w:sz="4" w:space="0"/>
              <w:right w:val="single" w:color="auto" w:sz="4" w:space="0"/>
            </w:tcBorders>
            <w:shd w:val="clear" w:color="auto" w:fill="auto"/>
            <w:noWrap/>
            <w:vAlign w:val="center"/>
          </w:tcPr>
          <w:p w14:paraId="0EE4E200">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aps w:val="0"/>
                <w:spacing w:val="0"/>
                <w:sz w:val="28"/>
                <w:szCs w:val="28"/>
                <w:shd w:val="clear" w:fill="FFFFFF"/>
                <w:lang w:val="en-US" w:eastAsia="zh-CN"/>
              </w:rPr>
            </w:pPr>
          </w:p>
        </w:tc>
        <w:tc>
          <w:tcPr>
            <w:tcW w:w="3409" w:type="dxa"/>
            <w:gridSpan w:val="2"/>
            <w:vMerge w:val="continue"/>
            <w:tcBorders>
              <w:left w:val="single" w:color="auto" w:sz="4" w:space="0"/>
              <w:right w:val="single" w:color="auto" w:sz="4" w:space="0"/>
            </w:tcBorders>
            <w:shd w:val="clear" w:color="auto" w:fill="auto"/>
            <w:noWrap/>
            <w:vAlign w:val="center"/>
          </w:tcPr>
          <w:p w14:paraId="2A330B04">
            <w:pPr>
              <w:keepNext w:val="0"/>
              <w:keepLines w:val="0"/>
              <w:widowControl/>
              <w:suppressLineNumbers w:val="0"/>
              <w:jc w:val="left"/>
              <w:textAlignment w:val="center"/>
              <w:rPr>
                <w:rFonts w:hint="eastAsia" w:ascii="仿宋_GB2312" w:hAnsi="仿宋_GB2312" w:eastAsia="仿宋_GB2312" w:cs="仿宋_GB2312"/>
                <w:sz w:val="28"/>
                <w:szCs w:val="28"/>
              </w:rPr>
            </w:pPr>
          </w:p>
        </w:tc>
        <w:tc>
          <w:tcPr>
            <w:tcW w:w="10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61CBF">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50本-100本</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D33D2">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p>
        </w:tc>
        <w:tc>
          <w:tcPr>
            <w:tcW w:w="1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E9CC0">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w:t>
            </w:r>
          </w:p>
        </w:tc>
        <w:tc>
          <w:tcPr>
            <w:tcW w:w="1050" w:type="dxa"/>
            <w:vMerge w:val="continue"/>
            <w:tcBorders>
              <w:left w:val="single" w:color="auto" w:sz="4" w:space="0"/>
            </w:tcBorders>
            <w:shd w:val="clear" w:color="auto" w:fill="auto"/>
            <w:vAlign w:val="center"/>
          </w:tcPr>
          <w:p w14:paraId="799C25BE">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p>
        </w:tc>
      </w:tr>
      <w:tr w14:paraId="284E4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37" w:type="dxa"/>
            <w:vMerge w:val="continue"/>
            <w:tcBorders>
              <w:bottom w:val="single" w:color="auto" w:sz="4" w:space="0"/>
              <w:right w:val="single" w:color="auto" w:sz="4" w:space="0"/>
            </w:tcBorders>
            <w:shd w:val="clear" w:color="auto" w:fill="auto"/>
            <w:vAlign w:val="center"/>
          </w:tcPr>
          <w:p w14:paraId="2FA4A925">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p>
        </w:tc>
        <w:tc>
          <w:tcPr>
            <w:tcW w:w="1392" w:type="dxa"/>
            <w:vMerge w:val="continue"/>
            <w:tcBorders>
              <w:left w:val="single" w:color="auto" w:sz="4" w:space="0"/>
              <w:bottom w:val="single" w:color="auto" w:sz="4" w:space="0"/>
              <w:right w:val="single" w:color="auto" w:sz="4" w:space="0"/>
            </w:tcBorders>
            <w:shd w:val="clear" w:color="auto" w:fill="auto"/>
            <w:vAlign w:val="center"/>
          </w:tcPr>
          <w:p w14:paraId="4D6EA8A8">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p>
        </w:tc>
        <w:tc>
          <w:tcPr>
            <w:tcW w:w="1745" w:type="dxa"/>
            <w:vMerge w:val="continue"/>
            <w:tcBorders>
              <w:left w:val="single" w:color="auto" w:sz="4" w:space="0"/>
              <w:bottom w:val="single" w:color="auto" w:sz="4" w:space="0"/>
              <w:right w:val="single" w:color="auto" w:sz="4" w:space="0"/>
            </w:tcBorders>
            <w:shd w:val="clear" w:color="auto" w:fill="auto"/>
            <w:vAlign w:val="center"/>
          </w:tcPr>
          <w:p w14:paraId="7D1D8655">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aps w:val="0"/>
                <w:spacing w:val="0"/>
                <w:sz w:val="28"/>
                <w:szCs w:val="28"/>
                <w:shd w:val="clear" w:fill="FFFFFF"/>
                <w:lang w:val="en-US" w:eastAsia="zh-CN"/>
              </w:rPr>
            </w:pPr>
          </w:p>
        </w:tc>
        <w:tc>
          <w:tcPr>
            <w:tcW w:w="2114" w:type="dxa"/>
            <w:vMerge w:val="continue"/>
            <w:tcBorders>
              <w:left w:val="single" w:color="auto" w:sz="4" w:space="0"/>
              <w:bottom w:val="single" w:color="auto" w:sz="4" w:space="0"/>
              <w:right w:val="single" w:color="auto" w:sz="4" w:space="0"/>
            </w:tcBorders>
            <w:shd w:val="clear" w:color="auto" w:fill="auto"/>
            <w:noWrap/>
            <w:vAlign w:val="center"/>
          </w:tcPr>
          <w:p w14:paraId="1BF684C9">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aps w:val="0"/>
                <w:spacing w:val="0"/>
                <w:sz w:val="28"/>
                <w:szCs w:val="28"/>
                <w:shd w:val="clear" w:fill="FFFFFF"/>
                <w:lang w:val="en-US" w:eastAsia="zh-CN"/>
              </w:rPr>
            </w:pPr>
          </w:p>
        </w:tc>
        <w:tc>
          <w:tcPr>
            <w:tcW w:w="3409" w:type="dxa"/>
            <w:gridSpan w:val="2"/>
            <w:vMerge w:val="continue"/>
            <w:tcBorders>
              <w:left w:val="single" w:color="auto" w:sz="4" w:space="0"/>
              <w:bottom w:val="single" w:color="auto" w:sz="4" w:space="0"/>
              <w:right w:val="single" w:color="auto" w:sz="4" w:space="0"/>
            </w:tcBorders>
            <w:shd w:val="clear" w:color="auto" w:fill="auto"/>
            <w:noWrap/>
            <w:vAlign w:val="center"/>
          </w:tcPr>
          <w:p w14:paraId="5DADE14C">
            <w:pPr>
              <w:keepNext w:val="0"/>
              <w:keepLines w:val="0"/>
              <w:widowControl/>
              <w:suppressLineNumbers w:val="0"/>
              <w:jc w:val="left"/>
              <w:textAlignment w:val="center"/>
              <w:rPr>
                <w:rFonts w:hint="eastAsia" w:ascii="仿宋_GB2312" w:hAnsi="仿宋_GB2312" w:eastAsia="仿宋_GB2312" w:cs="仿宋_GB2312"/>
                <w:sz w:val="28"/>
                <w:szCs w:val="28"/>
              </w:rPr>
            </w:pPr>
          </w:p>
        </w:tc>
        <w:tc>
          <w:tcPr>
            <w:tcW w:w="10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63A88">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50本以内</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62221">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p>
        </w:tc>
        <w:tc>
          <w:tcPr>
            <w:tcW w:w="1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6B9EE">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w:t>
            </w:r>
          </w:p>
        </w:tc>
        <w:tc>
          <w:tcPr>
            <w:tcW w:w="1050" w:type="dxa"/>
            <w:vMerge w:val="continue"/>
            <w:tcBorders>
              <w:left w:val="single" w:color="auto" w:sz="4" w:space="0"/>
              <w:bottom w:val="single" w:color="auto" w:sz="4" w:space="0"/>
            </w:tcBorders>
            <w:shd w:val="clear" w:color="auto" w:fill="auto"/>
            <w:vAlign w:val="center"/>
          </w:tcPr>
          <w:p w14:paraId="1606D457">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p>
        </w:tc>
      </w:tr>
      <w:tr w14:paraId="19032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37" w:type="dxa"/>
            <w:tcBorders>
              <w:top w:val="single" w:color="auto" w:sz="4" w:space="0"/>
              <w:bottom w:val="single" w:color="auto" w:sz="4" w:space="0"/>
              <w:right w:val="single" w:color="auto" w:sz="4" w:space="0"/>
            </w:tcBorders>
            <w:shd w:val="clear" w:color="auto" w:fill="auto"/>
            <w:vAlign w:val="center"/>
          </w:tcPr>
          <w:p w14:paraId="6CB846BC">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5</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045AB">
            <w:pPr>
              <w:keepNext w:val="0"/>
              <w:keepLines w:val="0"/>
              <w:pageBreakBefore w:val="0"/>
              <w:kinsoku/>
              <w:wordWrap/>
              <w:overflowPunct/>
              <w:topLinePunct w:val="0"/>
              <w:autoSpaceDE/>
              <w:autoSpaceDN/>
              <w:bidi w:val="0"/>
              <w:adjustRightInd/>
              <w:snapToGrid/>
              <w:spacing w:line="400" w:lineRule="exact"/>
              <w:jc w:val="center"/>
              <w:rPr>
                <w:rFonts w:hint="default"/>
                <w:sz w:val="28"/>
                <w:szCs w:val="28"/>
                <w:lang w:val="en-US" w:eastAsia="zh-CN"/>
              </w:rPr>
            </w:pPr>
            <w:r>
              <w:rPr>
                <w:rFonts w:hint="eastAsia" w:ascii="仿宋_GB2312" w:hAnsi="仿宋_GB2312" w:eastAsia="仿宋_GB2312" w:cs="仿宋_GB2312"/>
                <w:b/>
                <w:bCs/>
                <w:color w:val="000000"/>
                <w:sz w:val="28"/>
                <w:szCs w:val="28"/>
                <w:lang w:val="en-US" w:eastAsia="zh-CN"/>
              </w:rPr>
              <w:t>电子画册</w:t>
            </w:r>
          </w:p>
        </w:tc>
        <w:tc>
          <w:tcPr>
            <w:tcW w:w="17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F1469">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iCs w:val="0"/>
                <w:caps w:val="0"/>
                <w:spacing w:val="0"/>
                <w:sz w:val="28"/>
                <w:szCs w:val="28"/>
                <w:shd w:val="clear" w:fill="FFFFFF"/>
                <w:lang w:val="en-US" w:eastAsia="zh-CN"/>
              </w:rPr>
            </w:pPr>
            <w:r>
              <w:rPr>
                <w:rFonts w:hint="eastAsia" w:ascii="仿宋_GB2312" w:hAnsi="仿宋_GB2312" w:eastAsia="仿宋_GB2312" w:cs="仿宋_GB2312"/>
                <w:i w:val="0"/>
                <w:iCs w:val="0"/>
                <w:caps w:val="0"/>
                <w:spacing w:val="0"/>
                <w:sz w:val="28"/>
                <w:szCs w:val="28"/>
                <w:shd w:val="clear" w:fill="FFFFFF"/>
                <w:lang w:val="en-US" w:eastAsia="zh-CN"/>
              </w:rPr>
              <w:t>/</w:t>
            </w:r>
          </w:p>
        </w:tc>
        <w:tc>
          <w:tcPr>
            <w:tcW w:w="2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4F145">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aps w:val="0"/>
                <w:spacing w:val="0"/>
                <w:sz w:val="28"/>
                <w:szCs w:val="28"/>
                <w:shd w:val="clear" w:fill="FFFFFF"/>
                <w:lang w:val="en-US" w:eastAsia="zh-CN"/>
              </w:rPr>
            </w:pPr>
            <w:r>
              <w:rPr>
                <w:rFonts w:hint="eastAsia" w:ascii="仿宋_GB2312" w:hAnsi="仿宋_GB2312" w:eastAsia="仿宋_GB2312" w:cs="仿宋_GB2312"/>
                <w:i w:val="0"/>
                <w:iCs w:val="0"/>
                <w:caps w:val="0"/>
                <w:spacing w:val="0"/>
                <w:sz w:val="28"/>
                <w:szCs w:val="28"/>
                <w:shd w:val="clear" w:fill="FFFFFF"/>
                <w:lang w:val="en-US" w:eastAsia="zh-CN"/>
              </w:rPr>
              <w:t>整理上传制作电子书，提供永久链接和二维码</w:t>
            </w:r>
          </w:p>
        </w:tc>
        <w:tc>
          <w:tcPr>
            <w:tcW w:w="34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FFB015">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aps w:val="0"/>
                <w:spacing w:val="0"/>
                <w:sz w:val="28"/>
                <w:szCs w:val="28"/>
                <w:shd w:val="clear" w:fill="FFFFFF"/>
                <w:lang w:val="en-US" w:eastAsia="zh-CN"/>
              </w:rPr>
            </w:pPr>
            <w:r>
              <w:rPr>
                <w:rFonts w:hint="eastAsia" w:ascii="仿宋_GB2312" w:hAnsi="仿宋_GB2312" w:eastAsia="仿宋_GB2312" w:cs="仿宋_GB2312"/>
                <w:i w:val="0"/>
                <w:iCs w:val="0"/>
                <w:caps w:val="0"/>
                <w:spacing w:val="0"/>
                <w:sz w:val="28"/>
                <w:szCs w:val="28"/>
                <w:shd w:val="clear" w:fill="FFFFFF"/>
                <w:lang w:val="en-US" w:eastAsia="zh-CN"/>
              </w:rPr>
              <w:t>可直接分享到微信/朋友圈</w:t>
            </w:r>
          </w:p>
        </w:tc>
        <w:tc>
          <w:tcPr>
            <w:tcW w:w="10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4A2B3">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1套</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F41C2">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p>
        </w:tc>
        <w:tc>
          <w:tcPr>
            <w:tcW w:w="1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887EE">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p>
        </w:tc>
        <w:tc>
          <w:tcPr>
            <w:tcW w:w="1050" w:type="dxa"/>
            <w:tcBorders>
              <w:top w:val="single" w:color="auto" w:sz="4" w:space="0"/>
              <w:left w:val="single" w:color="auto" w:sz="4" w:space="0"/>
              <w:bottom w:val="single" w:color="auto" w:sz="4" w:space="0"/>
            </w:tcBorders>
            <w:shd w:val="clear" w:color="auto" w:fill="auto"/>
            <w:noWrap/>
            <w:vAlign w:val="center"/>
          </w:tcPr>
          <w:p w14:paraId="39C36F99">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p>
        </w:tc>
      </w:tr>
      <w:tr w14:paraId="3CE9D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2229" w:type="dxa"/>
            <w:gridSpan w:val="2"/>
            <w:tcBorders>
              <w:top w:val="single" w:color="auto" w:sz="4" w:space="0"/>
              <w:bottom w:val="single" w:color="auto" w:sz="4" w:space="0"/>
              <w:right w:val="single" w:color="auto" w:sz="4" w:space="0"/>
            </w:tcBorders>
            <w:shd w:val="clear" w:color="auto" w:fill="auto"/>
            <w:vAlign w:val="center"/>
          </w:tcPr>
          <w:p w14:paraId="6812750A">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总价（含税）</w:t>
            </w:r>
          </w:p>
        </w:tc>
        <w:tc>
          <w:tcPr>
            <w:tcW w:w="107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2177E5F">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bCs/>
                <w:color w:val="000000"/>
                <w:sz w:val="28"/>
                <w:szCs w:val="28"/>
                <w:lang w:val="en-US" w:eastAsia="zh-CN"/>
              </w:rPr>
            </w:pPr>
          </w:p>
        </w:tc>
        <w:tc>
          <w:tcPr>
            <w:tcW w:w="1050" w:type="dxa"/>
            <w:tcBorders>
              <w:top w:val="single" w:color="auto" w:sz="4" w:space="0"/>
              <w:left w:val="single" w:color="auto" w:sz="4" w:space="0"/>
              <w:bottom w:val="single" w:color="auto" w:sz="4" w:space="0"/>
            </w:tcBorders>
            <w:shd w:val="clear" w:color="auto" w:fill="auto"/>
            <w:noWrap/>
            <w:vAlign w:val="center"/>
          </w:tcPr>
          <w:p w14:paraId="5C3F0BE8">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sz w:val="21"/>
                <w:szCs w:val="21"/>
                <w:lang w:val="en-US" w:eastAsia="zh-CN"/>
              </w:rPr>
              <w:t>所报费用包含但不限于设计、制作、审校、修改、运输、搬运到甲方指定地点等的所有费用。</w:t>
            </w:r>
          </w:p>
        </w:tc>
      </w:tr>
    </w:tbl>
    <w:p w14:paraId="34AD83F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lang w:val="en-US" w:eastAsia="zh-CN"/>
        </w:rPr>
      </w:pPr>
    </w:p>
    <w:p w14:paraId="7C346C2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lang w:val="en-US" w:eastAsia="zh-CN"/>
        </w:rPr>
      </w:pPr>
    </w:p>
    <w:p w14:paraId="37667C81">
      <w:pPr>
        <w:pStyle w:val="15"/>
        <w:rPr>
          <w:rFonts w:hint="eastAsia" w:ascii="仿宋_GB2312" w:hAnsi="仿宋_GB2312" w:eastAsia="仿宋_GB2312" w:cs="仿宋_GB2312"/>
          <w:sz w:val="32"/>
          <w:szCs w:val="32"/>
          <w:lang w:val="en-US" w:eastAsia="zh-CN"/>
        </w:rPr>
      </w:pPr>
    </w:p>
    <w:p w14:paraId="4437393D">
      <w:pPr>
        <w:pStyle w:val="15"/>
        <w:rPr>
          <w:rFonts w:hint="eastAsia" w:ascii="仿宋_GB2312" w:hAnsi="仿宋_GB2312" w:eastAsia="仿宋_GB2312" w:cs="仿宋_GB2312"/>
          <w:sz w:val="32"/>
          <w:szCs w:val="32"/>
          <w:lang w:val="en-US" w:eastAsia="zh-CN"/>
        </w:rPr>
      </w:pPr>
    </w:p>
    <w:p w14:paraId="387A11CD">
      <w:pPr>
        <w:pStyle w:val="15"/>
        <w:rPr>
          <w:rFonts w:hint="eastAsia" w:ascii="仿宋_GB2312" w:hAnsi="仿宋_GB2312" w:eastAsia="仿宋_GB2312" w:cs="仿宋_GB2312"/>
          <w:sz w:val="32"/>
          <w:szCs w:val="32"/>
          <w:lang w:val="en-US" w:eastAsia="zh-CN"/>
        </w:rPr>
      </w:pPr>
    </w:p>
    <w:p w14:paraId="4111B8C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sz w:val="32"/>
          <w:szCs w:val="32"/>
          <w:lang w:val="en-US" w:eastAsia="zh-CN"/>
        </w:rPr>
        <w:sectPr>
          <w:footerReference r:id="rId3" w:type="default"/>
          <w:pgSz w:w="16838" w:h="11906" w:orient="landscape"/>
          <w:pgMar w:top="1417" w:right="1702" w:bottom="1133" w:left="993"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2C5512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F37638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29E01DB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w w:val="95"/>
          <w:sz w:val="44"/>
          <w:szCs w:val="44"/>
          <w:lang w:val="en-US" w:eastAsia="zh-CN"/>
        </w:rPr>
      </w:pPr>
      <w:r>
        <w:rPr>
          <w:rFonts w:hint="eastAsia" w:ascii="方正小标宋简体" w:hAnsi="黑体" w:eastAsia="方正小标宋简体"/>
          <w:w w:val="95"/>
          <w:sz w:val="44"/>
          <w:szCs w:val="44"/>
        </w:rPr>
        <w:t>南宁市工人文化宫</w:t>
      </w:r>
      <w:r>
        <w:rPr>
          <w:rFonts w:hint="eastAsia" w:ascii="方正小标宋简体" w:hAnsi="黑体" w:eastAsia="方正小标宋简体"/>
          <w:w w:val="95"/>
          <w:sz w:val="44"/>
          <w:szCs w:val="44"/>
          <w:lang w:val="en-US" w:eastAsia="zh-CN"/>
        </w:rPr>
        <w:t>恢复开放十周年特辑</w:t>
      </w:r>
    </w:p>
    <w:p w14:paraId="646338E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方正小标宋简体"/>
          <w:sz w:val="36"/>
          <w:szCs w:val="36"/>
          <w:lang w:val="en-US" w:eastAsia="zh-CN"/>
        </w:rPr>
      </w:pPr>
      <w:r>
        <w:rPr>
          <w:rFonts w:hint="eastAsia" w:ascii="方正小标宋简体" w:hAnsi="黑体" w:eastAsia="方正小标宋简体"/>
          <w:w w:val="95"/>
          <w:sz w:val="44"/>
          <w:szCs w:val="44"/>
        </w:rPr>
        <w:t>画册</w:t>
      </w:r>
      <w:r>
        <w:rPr>
          <w:rFonts w:hint="eastAsia" w:ascii="方正小标宋简体" w:hAnsi="黑体" w:eastAsia="方正小标宋简体"/>
          <w:w w:val="95"/>
          <w:sz w:val="44"/>
          <w:szCs w:val="44"/>
          <w:lang w:val="en-US" w:eastAsia="zh-CN"/>
        </w:rPr>
        <w:t>大纲</w:t>
      </w:r>
    </w:p>
    <w:p w14:paraId="01C3434B">
      <w:pPr>
        <w:keepNext w:val="0"/>
        <w:keepLines w:val="0"/>
        <w:pageBreakBefore w:val="0"/>
        <w:widowControl/>
        <w:kinsoku/>
        <w:wordWrap/>
        <w:overflowPunct/>
        <w:topLinePunct w:val="0"/>
        <w:autoSpaceDE/>
        <w:autoSpaceDN/>
        <w:bidi w:val="0"/>
        <w:adjustRightInd/>
        <w:snapToGrid/>
        <w:spacing w:line="560" w:lineRule="exact"/>
        <w:textAlignment w:val="auto"/>
      </w:pPr>
    </w:p>
    <w:p w14:paraId="52E8D61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黑体" w:cs="仿宋_GB2312"/>
          <w:b w:val="0"/>
          <w:bCs w:val="0"/>
          <w:color w:val="FF0000"/>
          <w:sz w:val="32"/>
          <w:szCs w:val="32"/>
          <w:lang w:val="en-US"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画册主题</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待定</w:t>
      </w:r>
      <w:r>
        <w:rPr>
          <w:rFonts w:hint="eastAsia" w:ascii="黑体" w:hAnsi="黑体" w:eastAsia="黑体" w:cs="黑体"/>
          <w:b w:val="0"/>
          <w:bCs w:val="0"/>
          <w:sz w:val="32"/>
          <w:szCs w:val="32"/>
          <w:lang w:eastAsia="zh-CN"/>
        </w:rPr>
        <w:t>）</w:t>
      </w:r>
    </w:p>
    <w:p w14:paraId="78FB5D2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十年相伴 一路繁花</w:t>
      </w:r>
    </w:p>
    <w:p w14:paraId="5492C3A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十年焕新 文化筑梦</w:t>
      </w:r>
    </w:p>
    <w:p w14:paraId="13937E3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十年筑匠心 万象焕新程</w:t>
      </w:r>
    </w:p>
    <w:p w14:paraId="3DA114B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画册页数及内容</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根据工作实际进行调整</w:t>
      </w:r>
      <w:r>
        <w:rPr>
          <w:rFonts w:hint="eastAsia" w:ascii="黑体" w:hAnsi="黑体" w:eastAsia="黑体" w:cs="黑体"/>
          <w:sz w:val="32"/>
          <w:szCs w:val="32"/>
          <w:lang w:eastAsia="zh-CN"/>
        </w:rPr>
        <w:t>）</w:t>
      </w:r>
    </w:p>
    <w:p w14:paraId="6A990F8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画册预计制作页数</w:t>
      </w:r>
      <w:r>
        <w:rPr>
          <w:rFonts w:hint="eastAsia" w:ascii="仿宋_GB2312" w:hAnsi="仿宋_GB2312" w:eastAsia="仿宋_GB2312" w:cs="仿宋_GB2312"/>
          <w:color w:val="auto"/>
          <w:sz w:val="32"/>
          <w:szCs w:val="32"/>
          <w:highlight w:val="none"/>
          <w:lang w:val="en-US" w:eastAsia="zh-CN"/>
        </w:rPr>
        <w:t>70-80</w:t>
      </w:r>
      <w:r>
        <w:rPr>
          <w:rFonts w:hint="eastAsia" w:ascii="仿宋_GB2312" w:hAnsi="仿宋_GB2312" w:eastAsia="仿宋_GB2312" w:cs="仿宋_GB2312"/>
          <w:color w:val="auto"/>
          <w:sz w:val="32"/>
          <w:szCs w:val="32"/>
        </w:rPr>
        <w:t>页（含封面封底），</w:t>
      </w:r>
      <w:r>
        <w:rPr>
          <w:rFonts w:hint="eastAsia" w:ascii="仿宋_GB2312" w:hAnsi="仿宋_GB2312" w:eastAsia="仿宋_GB2312" w:cs="仿宋_GB2312"/>
          <w:color w:val="auto"/>
          <w:sz w:val="32"/>
          <w:szCs w:val="32"/>
          <w:lang w:val="en-US" w:eastAsia="zh-CN"/>
        </w:rPr>
        <w:t>以十年为记录时期，用“时、势、实、诗”等“十”字同音字为思路串联起文化宫10年历程。</w:t>
      </w:r>
      <w:r>
        <w:rPr>
          <w:rFonts w:hint="eastAsia" w:ascii="仿宋_GB2312" w:hAnsi="仿宋_GB2312" w:eastAsia="仿宋_GB2312" w:cs="仿宋_GB2312"/>
          <w:color w:val="auto"/>
          <w:sz w:val="32"/>
          <w:szCs w:val="32"/>
        </w:rPr>
        <w:t>内容包含以下项目：</w:t>
      </w:r>
    </w:p>
    <w:p w14:paraId="4597F84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（一）卷首</w:t>
      </w:r>
    </w:p>
    <w:p w14:paraId="6A2597B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1.语录/寄语</w:t>
      </w:r>
    </w:p>
    <w:p w14:paraId="220512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2.新宫建设前文化宫发展建设简介，新宫十年对比图文（2016 vs 2026）。</w:t>
      </w:r>
    </w:p>
    <w:p w14:paraId="717448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3.感恩指引，致敬奋斗</w:t>
      </w:r>
    </w:p>
    <w:p w14:paraId="3852F6A3">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（二）时·光影印记</w:t>
      </w:r>
    </w:p>
    <w:p w14:paraId="16366BC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1.十个人物寄语</w:t>
      </w:r>
    </w:p>
    <w:p w14:paraId="1CE9277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2.十年荣誉</w:t>
      </w:r>
    </w:p>
    <w:p w14:paraId="5150B2CE">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（三）势·创新之路</w:t>
      </w:r>
    </w:p>
    <w:p w14:paraId="5F40969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十年创新</w:t>
      </w:r>
    </w:p>
    <w:p w14:paraId="60636691">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（四）实·焕新之程</w:t>
      </w:r>
    </w:p>
    <w:p w14:paraId="5A9D134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1.一片赤诚：讲述文化宫筑牢职工思想文化主阵地的具体措施。</w:t>
      </w:r>
    </w:p>
    <w:p w14:paraId="423B4AC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2.一颗真心：讲述文化宫用心为职工服务，构建职工精准服务体系的具体措施。</w:t>
      </w:r>
    </w:p>
    <w:p w14:paraId="1FA314AB">
      <w:pPr>
        <w:keepNext w:val="0"/>
        <w:keepLines w:val="0"/>
        <w:pageBreakBefore w:val="0"/>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3.一份期待：讲述文化宫满足职工美好生活新期待的具体措施。4.一张答卷：用可视化图表呈现 10 年核心数据答卷。</w:t>
      </w:r>
    </w:p>
    <w:p w14:paraId="3D5CE3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lang w:val="en-US" w:eastAsia="zh-CN"/>
        </w:rPr>
      </w:pPr>
      <w:r>
        <w:rPr>
          <w:rStyle w:val="12"/>
          <w:rFonts w:hint="eastAsia" w:ascii="方正楷体_GB2312" w:hAnsi="方正楷体_GB2312" w:eastAsia="方正楷体_GB2312" w:cs="方正楷体_GB2312"/>
          <w:b w:val="0"/>
          <w:bCs w:val="0"/>
          <w:i w:val="0"/>
          <w:iCs w:val="0"/>
          <w:caps w:val="0"/>
          <w:color w:val="auto"/>
          <w:spacing w:val="0"/>
          <w:kern w:val="0"/>
          <w:sz w:val="32"/>
          <w:szCs w:val="32"/>
          <w:shd w:val="clear" w:color="auto" w:fill="FFFFFF"/>
          <w:lang w:val="en-US" w:eastAsia="zh-CN" w:bidi="ar"/>
        </w:rPr>
        <w:t>（五）</w:t>
      </w:r>
      <w:r>
        <w:rPr>
          <w:rFonts w:hint="eastAsia" w:ascii="楷体" w:hAnsi="楷体" w:eastAsia="楷体" w:cs="楷体"/>
          <w:color w:val="auto"/>
          <w:sz w:val="32"/>
          <w:szCs w:val="32"/>
          <w:lang w:val="en-US" w:eastAsia="zh-CN"/>
        </w:rPr>
        <w:t>诗·未来之约</w:t>
      </w:r>
    </w:p>
    <w:p w14:paraId="2D656B2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总结10年沉淀，展望下一个十年的文化新篇。</w:t>
      </w:r>
    </w:p>
    <w:p w14:paraId="66F4A2A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1.大合照</w:t>
      </w:r>
    </w:p>
    <w:p w14:paraId="2EFAFF1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2.附赠文化宫贴贴纸（把文化宫表情包/或者各场馆用AI做成贴贴纸）</w:t>
      </w:r>
    </w:p>
    <w:p w14:paraId="6CA11F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8" w:firstLineChars="200"/>
        <w:jc w:val="both"/>
        <w:textAlignment w:val="auto"/>
        <w:rPr>
          <w:rFonts w:hint="default" w:ascii="仿宋_GB2312" w:hAnsi="仿宋_GB2312" w:eastAsia="仿宋_GB2312" w:cs="仿宋_GB2312"/>
          <w:color w:val="FF0000"/>
          <w:sz w:val="32"/>
          <w:szCs w:val="32"/>
          <w:lang w:val="en-US"/>
        </w:rPr>
      </w:pPr>
      <w:r>
        <w:rPr>
          <w:rFonts w:hint="eastAsia" w:ascii="黑体" w:hAnsi="黑体" w:eastAsia="黑体" w:cs="黑体"/>
          <w:color w:val="auto"/>
          <w:w w:val="95"/>
          <w:sz w:val="32"/>
          <w:szCs w:val="32"/>
          <w:lang w:val="en-US" w:eastAsia="zh-CN"/>
        </w:rPr>
        <w:t>三、时间规划</w:t>
      </w:r>
    </w:p>
    <w:p w14:paraId="741F397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rPr>
        <w:t>（一）</w:t>
      </w:r>
      <w:r>
        <w:rPr>
          <w:rFonts w:hint="eastAsia" w:ascii="楷体" w:hAnsi="楷体" w:eastAsia="楷体" w:cs="楷体"/>
          <w:color w:val="auto"/>
          <w:sz w:val="32"/>
          <w:szCs w:val="32"/>
          <w:lang w:val="en-US" w:eastAsia="zh-CN"/>
        </w:rPr>
        <w:t>文字/图片收集整理：2026年3月6日前</w:t>
      </w:r>
    </w:p>
    <w:p w14:paraId="34F1E7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hint="eastAsia" w:ascii="楷体" w:hAnsi="楷体" w:eastAsia="楷体" w:cs="楷体"/>
          <w:color w:val="auto"/>
          <w:sz w:val="32"/>
          <w:szCs w:val="32"/>
          <w:lang w:val="en-US" w:eastAsia="zh-CN"/>
        </w:rPr>
        <w:t>画册初稿</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2026年3月31日前</w:t>
      </w:r>
    </w:p>
    <w:p w14:paraId="470CEFC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楷体" w:hAnsi="楷体" w:eastAsia="楷体" w:cs="楷体"/>
          <w:color w:val="auto"/>
          <w:sz w:val="32"/>
          <w:szCs w:val="32"/>
        </w:rPr>
        <w:t>（三）画册</w:t>
      </w:r>
      <w:r>
        <w:rPr>
          <w:rFonts w:hint="eastAsia" w:ascii="楷体" w:hAnsi="楷体" w:eastAsia="楷体" w:cs="楷体"/>
          <w:color w:val="auto"/>
          <w:sz w:val="32"/>
          <w:szCs w:val="32"/>
          <w:lang w:val="en-US" w:eastAsia="zh-CN"/>
        </w:rPr>
        <w:t>定稿</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2026年4月30日前</w:t>
      </w:r>
    </w:p>
    <w:p w14:paraId="3C0B83F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7287E76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2358CEF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5168E3B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50E9C99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4F2CFFA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5C72E80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6C0DD39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1F6B4DB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48D420E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1C1BE20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0F40659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655E105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sz w:val="44"/>
          <w:szCs w:val="44"/>
          <w:lang w:val="en-US" w:eastAsia="zh-CN"/>
        </w:rPr>
      </w:pPr>
    </w:p>
    <w:p w14:paraId="1BE98A8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3665F85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38A6E02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南宁市工人文化宫恢复开放十周年特辑画册</w:t>
      </w:r>
    </w:p>
    <w:p w14:paraId="4A3F13D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设计制作项目评分标准</w:t>
      </w:r>
    </w:p>
    <w:p w14:paraId="0046641D">
      <w:pPr>
        <w:pStyle w:val="15"/>
        <w:rPr>
          <w:rFonts w:hint="default"/>
          <w:lang w:val="en-US" w:eastAsia="zh-CN"/>
        </w:rPr>
      </w:pPr>
    </w:p>
    <w:p w14:paraId="5AA8FF19">
      <w:pPr>
        <w:pStyle w:val="15"/>
        <w:keepNext w:val="0"/>
        <w:keepLines w:val="0"/>
        <w:pageBreakBefore w:val="0"/>
        <w:numPr>
          <w:ilvl w:val="0"/>
          <w:numId w:val="0"/>
        </w:numPr>
        <w:kinsoku/>
        <w:wordWrap/>
        <w:overflowPunct/>
        <w:topLinePunct w:val="0"/>
        <w:bidi w:val="0"/>
        <w:spacing w:line="56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一、工作小组</w:t>
      </w:r>
    </w:p>
    <w:p w14:paraId="2A6A5B37">
      <w:pPr>
        <w:pStyle w:val="15"/>
        <w:keepNext w:val="0"/>
        <w:keepLines w:val="0"/>
        <w:pageBreakBefore w:val="0"/>
        <w:numPr>
          <w:ilvl w:val="0"/>
          <w:numId w:val="0"/>
        </w:numPr>
        <w:kinsoku/>
        <w:wordWrap/>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邀请</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工作组对报价文件进行综合</w:t>
      </w:r>
      <w:r>
        <w:rPr>
          <w:rFonts w:hint="eastAsia" w:ascii="仿宋_GB2312" w:hAnsi="仿宋_GB2312" w:eastAsia="仿宋_GB2312" w:cs="仿宋_GB2312"/>
          <w:sz w:val="32"/>
          <w:szCs w:val="32"/>
          <w:lang w:val="en-US" w:eastAsia="zh-CN"/>
        </w:rPr>
        <w:t>评分</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监督组负责全过程监督本次</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工作的开展。</w:t>
      </w:r>
    </w:p>
    <w:p w14:paraId="2225FDA5">
      <w:pPr>
        <w:pStyle w:val="15"/>
        <w:keepNext w:val="0"/>
        <w:keepLines w:val="0"/>
        <w:pageBreakBefore w:val="0"/>
        <w:numPr>
          <w:ilvl w:val="0"/>
          <w:numId w:val="0"/>
        </w:numPr>
        <w:kinsoku/>
        <w:wordWrap/>
        <w:overflowPunct/>
        <w:topLinePunct w:val="0"/>
        <w:bidi w:val="0"/>
        <w:spacing w:line="56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二、评分办法</w:t>
      </w:r>
    </w:p>
    <w:p w14:paraId="0CEC4119">
      <w:pPr>
        <w:pStyle w:val="15"/>
        <w:keepNext w:val="0"/>
        <w:keepLines w:val="0"/>
        <w:pageBreakBefore w:val="0"/>
        <w:numPr>
          <w:ilvl w:val="0"/>
          <w:numId w:val="0"/>
        </w:numPr>
        <w:kinsoku/>
        <w:wordWrap/>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邀请</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的实际情况确定该项目的</w:t>
      </w:r>
      <w:r>
        <w:rPr>
          <w:rFonts w:hint="eastAsia" w:ascii="仿宋_GB2312" w:hAnsi="仿宋_GB2312" w:eastAsia="仿宋_GB2312" w:cs="仿宋_GB2312"/>
          <w:sz w:val="32"/>
          <w:szCs w:val="32"/>
          <w:lang w:val="en-US" w:eastAsia="zh-CN"/>
        </w:rPr>
        <w:t>预算总价</w:t>
      </w:r>
      <w:r>
        <w:rPr>
          <w:rFonts w:hint="eastAsia" w:ascii="仿宋_GB2312" w:hAnsi="仿宋_GB2312" w:eastAsia="仿宋_GB2312" w:cs="仿宋_GB2312"/>
          <w:sz w:val="32"/>
          <w:szCs w:val="32"/>
        </w:rPr>
        <w:t>，作为本次</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的限价，高于该限价的报价均无效。</w:t>
      </w:r>
    </w:p>
    <w:p w14:paraId="317B8908">
      <w:pPr>
        <w:pStyle w:val="15"/>
        <w:keepNext w:val="0"/>
        <w:keepLines w:val="0"/>
        <w:pageBreakBefore w:val="0"/>
        <w:numPr>
          <w:ilvl w:val="0"/>
          <w:numId w:val="0"/>
        </w:numPr>
        <w:kinsoku/>
        <w:wordWrap/>
        <w:overflowPunct/>
        <w:topLinePunct w:val="0"/>
        <w:bidi w:val="0"/>
        <w:spacing w:line="560" w:lineRule="exact"/>
        <w:ind w:firstLine="640" w:firstLineChars="200"/>
        <w:jc w:val="both"/>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2.报价单位</w:t>
      </w:r>
      <w:r>
        <w:rPr>
          <w:rFonts w:hint="eastAsia" w:ascii="仿宋_GB2312" w:hAnsi="仿宋_GB2312" w:eastAsia="仿宋_GB2312" w:cs="仿宋_GB2312"/>
          <w:sz w:val="32"/>
          <w:szCs w:val="32"/>
          <w:lang w:val="zh-CN"/>
        </w:rPr>
        <w:t>的最终得分以全部评委打分的算术平均数为准</w:t>
      </w:r>
      <w:r>
        <w:rPr>
          <w:rFonts w:hint="eastAsia" w:ascii="仿宋_GB2312" w:hAnsi="仿宋_GB2312" w:eastAsia="仿宋_GB2312" w:cs="仿宋_GB2312"/>
          <w:sz w:val="32"/>
          <w:szCs w:val="32"/>
          <w:lang w:val="zh-CN" w:eastAsia="zh-CN"/>
        </w:rPr>
        <w:t>，作为该</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zh-CN" w:eastAsia="zh-CN"/>
        </w:rPr>
        <w:t>的最终得分。</w:t>
      </w:r>
    </w:p>
    <w:p w14:paraId="157B009D">
      <w:pPr>
        <w:pStyle w:val="15"/>
        <w:keepNext w:val="0"/>
        <w:keepLines w:val="0"/>
        <w:pageBreakBefore w:val="0"/>
        <w:numPr>
          <w:ilvl w:val="0"/>
          <w:numId w:val="0"/>
        </w:numPr>
        <w:kinsoku/>
        <w:wordWrap/>
        <w:overflowPunct/>
        <w:topLinePunct w:val="0"/>
        <w:bidi w:val="0"/>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3.报价结果按评审后得分由高到低顺序排列。得分相同的，按报价由低到高顺序排列，得分且报价相同的以项目案例得分由高到低排列。</w:t>
      </w:r>
    </w:p>
    <w:p w14:paraId="4EB00CBF">
      <w:pPr>
        <w:pStyle w:val="15"/>
        <w:keepNext w:val="0"/>
        <w:keepLines w:val="0"/>
        <w:pageBreakBefore w:val="0"/>
        <w:numPr>
          <w:ilvl w:val="0"/>
          <w:numId w:val="0"/>
        </w:numPr>
        <w:kinsoku/>
        <w:wordWrap/>
        <w:overflowPunct/>
        <w:topLinePunct w:val="0"/>
        <w:bidi w:val="0"/>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bCs/>
          <w:sz w:val="32"/>
          <w:szCs w:val="32"/>
          <w:lang w:val="en-US" w:eastAsia="zh-CN"/>
        </w:rPr>
        <w:t>报价文件满足邀请函全部实质性要求，且按照评审得分最高的报价单位为排名第一的成交单位。</w:t>
      </w:r>
    </w:p>
    <w:p w14:paraId="6F6FFB51">
      <w:pPr>
        <w:pStyle w:val="15"/>
        <w:keepNext w:val="0"/>
        <w:keepLines w:val="0"/>
        <w:pageBreakBefore w:val="0"/>
        <w:numPr>
          <w:ilvl w:val="0"/>
          <w:numId w:val="0"/>
        </w:numPr>
        <w:kinsoku/>
        <w:wordWrap/>
        <w:overflowPunct/>
        <w:topLinePunct w:val="0"/>
        <w:bidi w:val="0"/>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5.对于进入详评的报价单位文件，采用百分制综合评分法。计分标准包含（1）项目报价；（2）项目介绍；（3）项目案例。</w:t>
      </w:r>
    </w:p>
    <w:p w14:paraId="0C41E55C">
      <w:pPr>
        <w:pStyle w:val="15"/>
        <w:keepNext w:val="0"/>
        <w:keepLines w:val="0"/>
        <w:pageBreakBefore w:val="0"/>
        <w:numPr>
          <w:ilvl w:val="0"/>
          <w:numId w:val="0"/>
        </w:numPr>
        <w:kinsoku/>
        <w:wordWrap/>
        <w:overflowPunct/>
        <w:topLinePunct w:val="0"/>
        <w:bidi w:val="0"/>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具体评分办法如下：</w:t>
      </w:r>
    </w:p>
    <w:tbl>
      <w:tblPr>
        <w:tblStyle w:val="10"/>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392"/>
        <w:gridCol w:w="7466"/>
      </w:tblGrid>
      <w:tr w14:paraId="5114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3" w:type="dxa"/>
            <w:noWrap w:val="0"/>
            <w:vAlign w:val="center"/>
          </w:tcPr>
          <w:p w14:paraId="47FBA092">
            <w:pPr>
              <w:keepNext w:val="0"/>
              <w:keepLines w:val="0"/>
              <w:pageBreakBefore w:val="0"/>
              <w:kinsoku/>
              <w:wordWrap/>
              <w:overflowPunct/>
              <w:topLinePunct w:val="0"/>
              <w:bidi w:val="0"/>
              <w:spacing w:line="560" w:lineRule="exact"/>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序号</w:t>
            </w:r>
          </w:p>
        </w:tc>
        <w:tc>
          <w:tcPr>
            <w:tcW w:w="1392" w:type="dxa"/>
            <w:noWrap w:val="0"/>
            <w:vAlign w:val="center"/>
          </w:tcPr>
          <w:p w14:paraId="6109B84A">
            <w:pPr>
              <w:keepNext w:val="0"/>
              <w:keepLines w:val="0"/>
              <w:pageBreakBefore w:val="0"/>
              <w:kinsoku/>
              <w:wordWrap/>
              <w:overflowPunct/>
              <w:topLinePunct w:val="0"/>
              <w:bidi w:val="0"/>
              <w:spacing w:line="560" w:lineRule="exact"/>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项目</w:t>
            </w:r>
          </w:p>
        </w:tc>
        <w:tc>
          <w:tcPr>
            <w:tcW w:w="7466" w:type="dxa"/>
            <w:noWrap w:val="0"/>
            <w:vAlign w:val="center"/>
          </w:tcPr>
          <w:p w14:paraId="50F4E775">
            <w:pPr>
              <w:pStyle w:val="15"/>
              <w:keepNext w:val="0"/>
              <w:keepLines w:val="0"/>
              <w:pageBreakBefore w:val="0"/>
              <w:kinsoku/>
              <w:wordWrap/>
              <w:overflowPunct/>
              <w:topLinePunct w:val="0"/>
              <w:bidi w:val="0"/>
              <w:spacing w:line="560" w:lineRule="exact"/>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细则</w:t>
            </w:r>
          </w:p>
        </w:tc>
      </w:tr>
      <w:tr w14:paraId="15E2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3" w:type="dxa"/>
            <w:noWrap w:val="0"/>
            <w:vAlign w:val="center"/>
          </w:tcPr>
          <w:p w14:paraId="2A8871EA">
            <w:pPr>
              <w:keepNext w:val="0"/>
              <w:keepLines w:val="0"/>
              <w:pageBreakBefore w:val="0"/>
              <w:kinsoku/>
              <w:wordWrap/>
              <w:overflowPunct/>
              <w:topLinePunct w:val="0"/>
              <w:bidi w:val="0"/>
              <w:spacing w:line="56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392" w:type="dxa"/>
            <w:noWrap w:val="0"/>
            <w:vAlign w:val="center"/>
          </w:tcPr>
          <w:p w14:paraId="3A657CA3">
            <w:pPr>
              <w:keepNext w:val="0"/>
              <w:keepLines w:val="0"/>
              <w:pageBreakBefore w:val="0"/>
              <w:kinsoku/>
              <w:wordWrap/>
              <w:overflowPunct/>
              <w:topLinePunct w:val="0"/>
              <w:bidi w:val="0"/>
              <w:spacing w:line="560" w:lineRule="exact"/>
              <w:rPr>
                <w:rFonts w:hint="default" w:ascii="仿宋_GB2312" w:hAnsi="仿宋_GB2312" w:eastAsia="仿宋_GB2312" w:cs="仿宋_GB2312"/>
                <w:b/>
                <w:color w:val="auto"/>
                <w:sz w:val="28"/>
                <w:szCs w:val="28"/>
                <w:lang w:val="en-US" w:eastAsia="zh-CN"/>
              </w:rPr>
            </w:pPr>
            <w:r>
              <w:rPr>
                <w:rFonts w:hint="eastAsia" w:ascii="仿宋_GB2312" w:hAnsi="仿宋_GB2312" w:eastAsia="仿宋_GB2312" w:cs="仿宋_GB2312"/>
                <w:color w:val="auto"/>
                <w:sz w:val="28"/>
                <w:szCs w:val="28"/>
                <w:lang w:val="en-US" w:eastAsia="zh-CN"/>
              </w:rPr>
              <w:t>项目报价（40分）</w:t>
            </w:r>
          </w:p>
        </w:tc>
        <w:tc>
          <w:tcPr>
            <w:tcW w:w="7466" w:type="dxa"/>
            <w:noWrap w:val="0"/>
            <w:vAlign w:val="center"/>
          </w:tcPr>
          <w:p w14:paraId="74D22A16">
            <w:pPr>
              <w:pStyle w:val="15"/>
              <w:keepNext w:val="0"/>
              <w:keepLines w:val="0"/>
              <w:pageBreakBefore w:val="0"/>
              <w:kinsoku/>
              <w:wordWrap/>
              <w:overflowPunct/>
              <w:topLinePunct w:val="0"/>
              <w:bidi w:val="0"/>
              <w:spacing w:line="560" w:lineRule="exact"/>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1、报价单位应包含邀请单位指定的必要服务项目且报价最低者可获得该项目满分40分，按报价从低到高以2分为一个等级递减。如缺少甲方指定的必要服务内容则该项分值为零。</w:t>
            </w:r>
          </w:p>
          <w:p w14:paraId="1262E36D">
            <w:pPr>
              <w:pStyle w:val="15"/>
              <w:keepNext w:val="0"/>
              <w:keepLines w:val="0"/>
              <w:pageBreakBefore w:val="0"/>
              <w:kinsoku/>
              <w:wordWrap/>
              <w:overflowPunct/>
              <w:topLinePunct w:val="0"/>
              <w:bidi w:val="0"/>
              <w:spacing w:line="560" w:lineRule="exac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2、各项目报价须为含税价格，报价总额为各单项项目含税报价之和，最终报价单位的成交金额＝询价时报价（含税价格）。</w:t>
            </w:r>
          </w:p>
          <w:p w14:paraId="13EE8CA2">
            <w:pPr>
              <w:pStyle w:val="15"/>
              <w:keepNext w:val="0"/>
              <w:keepLines w:val="0"/>
              <w:pageBreakBefore w:val="0"/>
              <w:kinsoku/>
              <w:wordWrap/>
              <w:overflowPunct/>
              <w:topLinePunct w:val="0"/>
              <w:bidi w:val="0"/>
              <w:spacing w:line="560" w:lineRule="exac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3、合同</w:t>
            </w:r>
            <w:r>
              <w:rPr>
                <w:rFonts w:hint="eastAsia" w:ascii="仿宋_GB2312" w:hAnsi="仿宋_GB2312" w:eastAsia="仿宋_GB2312" w:cs="仿宋_GB2312"/>
                <w:color w:val="auto"/>
                <w:kern w:val="2"/>
                <w:sz w:val="28"/>
                <w:szCs w:val="28"/>
                <w:lang w:val="zh-CN" w:eastAsia="zh-CN" w:bidi="ar-SA"/>
              </w:rPr>
              <w:t>的结算和支付均以人民币（元）为单位。</w:t>
            </w:r>
            <w:r>
              <w:rPr>
                <w:rFonts w:hint="eastAsia" w:ascii="仿宋_GB2312" w:hAnsi="仿宋_GB2312" w:eastAsia="仿宋_GB2312" w:cs="仿宋_GB2312"/>
                <w:color w:val="auto"/>
                <w:kern w:val="2"/>
                <w:sz w:val="28"/>
                <w:szCs w:val="28"/>
                <w:lang w:val="en-US" w:eastAsia="zh-CN" w:bidi="ar-SA"/>
              </w:rPr>
              <w:t>报价必须填写具体金额（不得填写区间）。报价包括：询价完成本项目所需一切工作内容而发生的所有直接费用、间接费用、其他费用等全部费用，报价单位要求获得的利润，以及应由报价单位承担的</w:t>
            </w:r>
            <w:r>
              <w:rPr>
                <w:rFonts w:hint="eastAsia" w:ascii="仿宋_GB2312" w:hAnsi="仿宋_GB2312" w:eastAsia="仿宋_GB2312" w:cs="仿宋_GB2312"/>
                <w:color w:val="auto"/>
                <w:kern w:val="2"/>
                <w:sz w:val="28"/>
                <w:szCs w:val="28"/>
                <w:lang w:val="zh-CN" w:eastAsia="zh-CN" w:bidi="ar-SA"/>
              </w:rPr>
              <w:t>义务</w:t>
            </w:r>
            <w:r>
              <w:rPr>
                <w:rFonts w:hint="eastAsia" w:ascii="仿宋_GB2312" w:hAnsi="仿宋_GB2312" w:eastAsia="仿宋_GB2312" w:cs="仿宋_GB2312"/>
                <w:color w:val="auto"/>
                <w:kern w:val="2"/>
                <w:sz w:val="28"/>
                <w:szCs w:val="28"/>
                <w:lang w:val="en-US" w:eastAsia="zh-CN" w:bidi="ar-SA"/>
              </w:rPr>
              <w:t>、责任和风险所发生的一切费用。</w:t>
            </w:r>
          </w:p>
          <w:p w14:paraId="2E1181C7">
            <w:pPr>
              <w:pStyle w:val="15"/>
              <w:keepNext w:val="0"/>
              <w:keepLines w:val="0"/>
              <w:pageBreakBefore w:val="0"/>
              <w:kinsoku/>
              <w:wordWrap/>
              <w:overflowPunct/>
              <w:topLinePunct w:val="0"/>
              <w:bidi w:val="0"/>
              <w:spacing w:line="560" w:lineRule="exact"/>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w:t>
            </w:r>
            <w:r>
              <w:rPr>
                <w:rFonts w:hint="eastAsia" w:ascii="仿宋_GB2312" w:hAnsi="仿宋_GB2312" w:eastAsia="仿宋_GB2312" w:cs="仿宋_GB2312"/>
                <w:color w:val="auto"/>
                <w:kern w:val="2"/>
                <w:sz w:val="28"/>
                <w:szCs w:val="28"/>
                <w:lang w:val="zh-CN" w:eastAsia="zh-CN" w:bidi="ar-SA"/>
              </w:rPr>
              <w:t>如</w:t>
            </w:r>
            <w:r>
              <w:rPr>
                <w:rFonts w:hint="eastAsia" w:ascii="仿宋_GB2312" w:hAnsi="仿宋_GB2312" w:eastAsia="仿宋_GB2312" w:cs="仿宋_GB2312"/>
                <w:color w:val="auto"/>
                <w:kern w:val="2"/>
                <w:sz w:val="28"/>
                <w:szCs w:val="28"/>
                <w:lang w:val="en-US" w:eastAsia="zh-CN" w:bidi="ar-SA"/>
              </w:rPr>
              <w:t>询价工作组</w:t>
            </w:r>
            <w:r>
              <w:rPr>
                <w:rFonts w:hint="eastAsia" w:ascii="仿宋_GB2312" w:hAnsi="仿宋_GB2312" w:eastAsia="仿宋_GB2312" w:cs="仿宋_GB2312"/>
                <w:color w:val="auto"/>
                <w:kern w:val="2"/>
                <w:sz w:val="28"/>
                <w:szCs w:val="28"/>
                <w:lang w:val="zh-CN" w:eastAsia="zh-CN" w:bidi="ar-SA"/>
              </w:rPr>
              <w:t>认为，某</w:t>
            </w:r>
            <w:r>
              <w:rPr>
                <w:rFonts w:hint="eastAsia" w:ascii="仿宋_GB2312" w:hAnsi="仿宋_GB2312" w:eastAsia="仿宋_GB2312" w:cs="仿宋_GB2312"/>
                <w:color w:val="auto"/>
                <w:kern w:val="2"/>
                <w:sz w:val="28"/>
                <w:szCs w:val="28"/>
                <w:lang w:val="en-US" w:eastAsia="zh-CN" w:bidi="ar-SA"/>
              </w:rPr>
              <w:t>报价单位</w:t>
            </w:r>
            <w:r>
              <w:rPr>
                <w:rFonts w:hint="eastAsia" w:ascii="仿宋_GB2312" w:hAnsi="仿宋_GB2312" w:eastAsia="仿宋_GB2312" w:cs="仿宋_GB2312"/>
                <w:color w:val="auto"/>
                <w:kern w:val="2"/>
                <w:sz w:val="28"/>
                <w:szCs w:val="28"/>
                <w:lang w:val="zh-CN" w:eastAsia="zh-CN" w:bidi="ar-SA"/>
              </w:rPr>
              <w:t>的有效</w:t>
            </w:r>
            <w:r>
              <w:rPr>
                <w:rFonts w:hint="eastAsia" w:ascii="仿宋_GB2312" w:hAnsi="仿宋_GB2312" w:eastAsia="仿宋_GB2312" w:cs="仿宋_GB2312"/>
                <w:color w:val="auto"/>
                <w:kern w:val="2"/>
                <w:sz w:val="28"/>
                <w:szCs w:val="28"/>
                <w:lang w:val="en-US" w:eastAsia="zh-CN" w:bidi="ar-SA"/>
              </w:rPr>
              <w:t>项目</w:t>
            </w:r>
            <w:r>
              <w:rPr>
                <w:rFonts w:hint="eastAsia" w:ascii="仿宋_GB2312" w:hAnsi="仿宋_GB2312" w:eastAsia="仿宋_GB2312" w:cs="仿宋_GB2312"/>
                <w:color w:val="auto"/>
                <w:kern w:val="2"/>
                <w:sz w:val="28"/>
                <w:szCs w:val="28"/>
                <w:lang w:val="zh-CN" w:eastAsia="zh-CN" w:bidi="ar-SA"/>
              </w:rPr>
              <w:t>报价或者某些分项报价明显不合理或者低于成本，有可能影响服务质量和不能诚信履约，经</w:t>
            </w:r>
            <w:r>
              <w:rPr>
                <w:rFonts w:hint="eastAsia" w:ascii="仿宋_GB2312" w:hAnsi="仿宋_GB2312" w:eastAsia="仿宋_GB2312" w:cs="仿宋_GB2312"/>
                <w:color w:val="auto"/>
                <w:kern w:val="2"/>
                <w:sz w:val="28"/>
                <w:szCs w:val="28"/>
                <w:lang w:val="en-US" w:eastAsia="zh-CN" w:bidi="ar-SA"/>
              </w:rPr>
              <w:t>报价单位</w:t>
            </w:r>
            <w:r>
              <w:rPr>
                <w:rFonts w:hint="eastAsia" w:ascii="仿宋_GB2312" w:hAnsi="仿宋_GB2312" w:eastAsia="仿宋_GB2312" w:cs="仿宋_GB2312"/>
                <w:color w:val="auto"/>
                <w:kern w:val="2"/>
                <w:sz w:val="28"/>
                <w:szCs w:val="28"/>
                <w:lang w:val="zh-CN" w:eastAsia="zh-CN" w:bidi="ar-SA"/>
              </w:rPr>
              <w:t>解释后仍不具备合理性的，可由在场所有</w:t>
            </w:r>
            <w:r>
              <w:rPr>
                <w:rFonts w:hint="eastAsia" w:ascii="仿宋_GB2312" w:hAnsi="仿宋_GB2312" w:eastAsia="仿宋_GB2312" w:cs="仿宋_GB2312"/>
                <w:color w:val="auto"/>
                <w:kern w:val="2"/>
                <w:sz w:val="28"/>
                <w:szCs w:val="28"/>
                <w:lang w:val="en-US" w:eastAsia="zh-CN" w:bidi="ar-SA"/>
              </w:rPr>
              <w:t>询价工作组人员</w:t>
            </w:r>
            <w:r>
              <w:rPr>
                <w:rFonts w:hint="eastAsia" w:ascii="仿宋_GB2312" w:hAnsi="仿宋_GB2312" w:eastAsia="仿宋_GB2312" w:cs="仿宋_GB2312"/>
                <w:color w:val="auto"/>
                <w:kern w:val="2"/>
                <w:sz w:val="28"/>
                <w:szCs w:val="28"/>
                <w:lang w:val="zh-CN" w:eastAsia="zh-CN" w:bidi="ar-SA"/>
              </w:rPr>
              <w:t>商议，并有权不推荐该</w:t>
            </w:r>
            <w:r>
              <w:rPr>
                <w:rFonts w:hint="eastAsia" w:ascii="仿宋_GB2312" w:hAnsi="仿宋_GB2312" w:eastAsia="仿宋_GB2312" w:cs="仿宋_GB2312"/>
                <w:color w:val="auto"/>
                <w:kern w:val="2"/>
                <w:sz w:val="28"/>
                <w:szCs w:val="28"/>
                <w:lang w:val="en-US" w:eastAsia="zh-CN" w:bidi="ar-SA"/>
              </w:rPr>
              <w:t>报价单位</w:t>
            </w:r>
            <w:r>
              <w:rPr>
                <w:rFonts w:hint="eastAsia" w:ascii="仿宋_GB2312" w:hAnsi="仿宋_GB2312" w:eastAsia="仿宋_GB2312" w:cs="仿宋_GB2312"/>
                <w:color w:val="auto"/>
                <w:kern w:val="2"/>
                <w:sz w:val="28"/>
                <w:szCs w:val="28"/>
                <w:lang w:val="zh-CN" w:eastAsia="zh-CN" w:bidi="ar-SA"/>
              </w:rPr>
              <w:t>为</w:t>
            </w:r>
            <w:r>
              <w:rPr>
                <w:rFonts w:hint="eastAsia" w:ascii="仿宋_GB2312" w:hAnsi="仿宋_GB2312" w:eastAsia="仿宋_GB2312" w:cs="仿宋_GB2312"/>
                <w:color w:val="auto"/>
                <w:kern w:val="2"/>
                <w:sz w:val="28"/>
                <w:szCs w:val="28"/>
                <w:lang w:val="en-US" w:eastAsia="zh-CN" w:bidi="ar-SA"/>
              </w:rPr>
              <w:t>成交</w:t>
            </w:r>
            <w:r>
              <w:rPr>
                <w:rFonts w:hint="eastAsia" w:ascii="仿宋_GB2312" w:hAnsi="仿宋_GB2312" w:eastAsia="仿宋_GB2312" w:cs="仿宋_GB2312"/>
                <w:color w:val="auto"/>
                <w:kern w:val="2"/>
                <w:sz w:val="28"/>
                <w:szCs w:val="28"/>
                <w:lang w:val="zh-CN" w:eastAsia="zh-CN" w:bidi="ar-SA"/>
              </w:rPr>
              <w:t>候选人。</w:t>
            </w:r>
          </w:p>
        </w:tc>
      </w:tr>
      <w:tr w14:paraId="790D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3" w:type="dxa"/>
            <w:noWrap w:val="0"/>
            <w:vAlign w:val="center"/>
          </w:tcPr>
          <w:p w14:paraId="3F67EC13">
            <w:pPr>
              <w:keepNext w:val="0"/>
              <w:keepLines w:val="0"/>
              <w:pageBreakBefore w:val="0"/>
              <w:kinsoku/>
              <w:wordWrap/>
              <w:overflowPunct/>
              <w:topLinePunct w:val="0"/>
              <w:bidi w:val="0"/>
              <w:spacing w:line="56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1392" w:type="dxa"/>
            <w:noWrap w:val="0"/>
            <w:vAlign w:val="center"/>
          </w:tcPr>
          <w:p w14:paraId="5217836A">
            <w:pPr>
              <w:keepNext w:val="0"/>
              <w:keepLines w:val="0"/>
              <w:pageBreakBefore w:val="0"/>
              <w:kinsoku/>
              <w:wordWrap/>
              <w:overflowPunct/>
              <w:topLinePunct w:val="0"/>
              <w:bidi w:val="0"/>
              <w:spacing w:line="560" w:lineRule="exact"/>
              <w:rPr>
                <w:rFonts w:hint="default" w:ascii="仿宋_GB2312" w:hAnsi="仿宋_GB2312" w:eastAsia="仿宋_GB2312" w:cs="仿宋_GB2312"/>
                <w:color w:val="auto"/>
                <w:sz w:val="28"/>
                <w:szCs w:val="28"/>
                <w:highlight w:val="yellow"/>
                <w:lang w:val="en-US"/>
              </w:rPr>
            </w:pPr>
            <w:r>
              <w:rPr>
                <w:rFonts w:hint="eastAsia" w:ascii="仿宋_GB2312" w:hAnsi="仿宋_GB2312" w:eastAsia="仿宋_GB2312" w:cs="仿宋_GB2312"/>
                <w:color w:val="auto"/>
                <w:sz w:val="28"/>
                <w:szCs w:val="28"/>
                <w:lang w:val="en-US" w:eastAsia="zh-CN"/>
              </w:rPr>
              <w:t>项目介绍（30分）</w:t>
            </w:r>
          </w:p>
        </w:tc>
        <w:tc>
          <w:tcPr>
            <w:tcW w:w="7466" w:type="dxa"/>
            <w:noWrap w:val="0"/>
            <w:vAlign w:val="center"/>
          </w:tcPr>
          <w:p w14:paraId="5F35FC46">
            <w:pPr>
              <w:keepNext w:val="0"/>
              <w:keepLines w:val="0"/>
              <w:pageBreakBefore w:val="0"/>
              <w:widowControl/>
              <w:kinsoku/>
              <w:wordWrap/>
              <w:overflowPunct/>
              <w:topLinePunct w:val="0"/>
              <w:autoSpaceDN/>
              <w:bidi w:val="0"/>
              <w:adjustRightInd/>
              <w:snapToGrid/>
              <w:spacing w:line="560" w:lineRule="exact"/>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1、满足全部基本要求，得10分基础分，依据提供的项目材料进行加分。如有任何一项基本要求未满足，本项得0分。</w:t>
            </w:r>
          </w:p>
          <w:p w14:paraId="44E7E1E9">
            <w:pPr>
              <w:keepNext w:val="0"/>
              <w:keepLines w:val="0"/>
              <w:pageBreakBefore w:val="0"/>
              <w:widowControl/>
              <w:kinsoku/>
              <w:wordWrap/>
              <w:overflowPunct/>
              <w:topLinePunct w:val="0"/>
              <w:autoSpaceDN/>
              <w:bidi w:val="0"/>
              <w:adjustRightInd/>
              <w:snapToGrid/>
              <w:spacing w:line="560" w:lineRule="exact"/>
              <w:jc w:val="left"/>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2、报价单位应就贵公司的业务能力做基本展示介绍，包括但不限于公司规模、人员配比、服务人群等。评分标准：①</w:t>
            </w:r>
          </w:p>
          <w:p w14:paraId="4F7D6DFE">
            <w:pPr>
              <w:keepNext w:val="0"/>
              <w:keepLines w:val="0"/>
              <w:pageBreakBefore w:val="0"/>
              <w:widowControl/>
              <w:kinsoku/>
              <w:wordWrap/>
              <w:overflowPunct/>
              <w:topLinePunct w:val="0"/>
              <w:autoSpaceDN/>
              <w:bidi w:val="0"/>
              <w:adjustRightInd/>
              <w:snapToGrid/>
              <w:spacing w:line="560" w:lineRule="exact"/>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u w:val="single"/>
                <w:lang w:val="en-US" w:eastAsia="zh-CN" w:bidi="ar-SA"/>
              </w:rPr>
              <w:t>10分：</w:t>
            </w:r>
            <w:r>
              <w:rPr>
                <w:rFonts w:hint="eastAsia" w:ascii="仿宋_GB2312" w:hAnsi="仿宋_GB2312" w:eastAsia="仿宋_GB2312" w:cs="仿宋_GB2312"/>
                <w:color w:val="auto"/>
                <w:kern w:val="2"/>
                <w:sz w:val="28"/>
                <w:szCs w:val="28"/>
                <w:lang w:val="en-US" w:eastAsia="zh-CN" w:bidi="ar-SA"/>
              </w:rPr>
              <w:t>介绍全面、具体，资料翔实，能充分体现公司雄厚的实力和丰富的经验。②</w:t>
            </w:r>
            <w:r>
              <w:rPr>
                <w:rFonts w:hint="eastAsia" w:ascii="仿宋_GB2312" w:hAnsi="仿宋_GB2312" w:eastAsia="仿宋_GB2312" w:cs="仿宋_GB2312"/>
                <w:i w:val="0"/>
                <w:iCs w:val="0"/>
                <w:color w:val="auto"/>
                <w:kern w:val="2"/>
                <w:sz w:val="28"/>
                <w:szCs w:val="28"/>
                <w:u w:val="single"/>
                <w:lang w:val="en-US" w:eastAsia="zh-CN" w:bidi="ar-SA"/>
              </w:rPr>
              <w:t>9分：</w:t>
            </w:r>
            <w:r>
              <w:rPr>
                <w:rFonts w:hint="eastAsia" w:ascii="仿宋_GB2312" w:hAnsi="仿宋_GB2312" w:eastAsia="仿宋_GB2312" w:cs="仿宋_GB2312"/>
                <w:color w:val="auto"/>
                <w:kern w:val="2"/>
                <w:sz w:val="28"/>
                <w:szCs w:val="28"/>
                <w:lang w:val="en-US" w:eastAsia="zh-CN" w:bidi="ar-SA"/>
              </w:rPr>
              <w:t>介绍较为全面，资料较为详实，能较好地体现公司的实力和经验。③</w:t>
            </w:r>
            <w:r>
              <w:rPr>
                <w:rFonts w:hint="eastAsia" w:ascii="仿宋_GB2312" w:hAnsi="仿宋_GB2312" w:eastAsia="仿宋_GB2312" w:cs="仿宋_GB2312"/>
                <w:color w:val="auto"/>
                <w:kern w:val="2"/>
                <w:sz w:val="28"/>
                <w:szCs w:val="28"/>
                <w:u w:val="single"/>
                <w:lang w:val="en-US" w:eastAsia="zh-CN" w:bidi="ar-SA"/>
              </w:rPr>
              <w:t>8分：</w:t>
            </w:r>
            <w:r>
              <w:rPr>
                <w:rFonts w:hint="eastAsia" w:ascii="仿宋_GB2312" w:hAnsi="仿宋_GB2312" w:eastAsia="仿宋_GB2312" w:cs="仿宋_GB2312"/>
                <w:color w:val="auto"/>
                <w:kern w:val="2"/>
                <w:sz w:val="28"/>
                <w:szCs w:val="28"/>
                <w:lang w:val="en-US" w:eastAsia="zh-CN" w:bidi="ar-SA"/>
              </w:rPr>
              <w:t>介绍基本完整，但内容较为简略，对公司实力的体现一般。④</w:t>
            </w:r>
            <w:r>
              <w:rPr>
                <w:rFonts w:hint="eastAsia" w:ascii="仿宋_GB2312" w:hAnsi="仿宋_GB2312" w:eastAsia="仿宋_GB2312" w:cs="仿宋_GB2312"/>
                <w:color w:val="auto"/>
                <w:kern w:val="2"/>
                <w:sz w:val="28"/>
                <w:szCs w:val="28"/>
                <w:u w:val="single"/>
                <w:lang w:val="en-US" w:eastAsia="zh-CN" w:bidi="ar-SA"/>
              </w:rPr>
              <w:t>8分以下：</w:t>
            </w:r>
            <w:r>
              <w:rPr>
                <w:rFonts w:hint="eastAsia" w:ascii="仿宋_GB2312" w:hAnsi="仿宋_GB2312" w:eastAsia="仿宋_GB2312" w:cs="仿宋_GB2312"/>
                <w:color w:val="auto"/>
                <w:kern w:val="2"/>
                <w:sz w:val="28"/>
                <w:szCs w:val="28"/>
                <w:lang w:val="en-US" w:eastAsia="zh-CN" w:bidi="ar-SA"/>
              </w:rPr>
              <w:t>介绍不完整或过于笼统，未能有效展示公司实力。</w:t>
            </w:r>
          </w:p>
          <w:p w14:paraId="58C07313">
            <w:pPr>
              <w:keepNext w:val="0"/>
              <w:keepLines w:val="0"/>
              <w:pageBreakBefore w:val="0"/>
              <w:widowControl/>
              <w:kinsoku/>
              <w:wordWrap/>
              <w:overflowPunct/>
              <w:topLinePunct w:val="0"/>
              <w:autoSpaceDN/>
              <w:bidi w:val="0"/>
              <w:adjustRightInd/>
              <w:snapToGrid/>
              <w:spacing w:line="560" w:lineRule="exact"/>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kern w:val="2"/>
                <w:sz w:val="28"/>
                <w:szCs w:val="28"/>
                <w:lang w:val="en-US" w:eastAsia="zh-CN" w:bidi="ar-SA"/>
              </w:rPr>
              <w:t>3、针对本次项目布局进行思路阐述，包含但不限于封面页、目录页、章节页、后记页、画面设计、概念叙述、亮点部分等方向的内容。评分标准：①</w:t>
            </w:r>
            <w:r>
              <w:rPr>
                <w:rFonts w:hint="eastAsia" w:ascii="仿宋_GB2312" w:hAnsi="仿宋_GB2312" w:eastAsia="仿宋_GB2312" w:cs="仿宋_GB2312"/>
                <w:color w:val="auto"/>
                <w:kern w:val="2"/>
                <w:sz w:val="28"/>
                <w:szCs w:val="28"/>
                <w:u w:val="single"/>
                <w:lang w:val="en-US" w:eastAsia="zh-CN" w:bidi="ar-SA"/>
              </w:rPr>
              <w:t>10分：</w:t>
            </w:r>
            <w:r>
              <w:rPr>
                <w:rFonts w:hint="eastAsia" w:ascii="仿宋_GB2312" w:hAnsi="仿宋_GB2312" w:eastAsia="仿宋_GB2312" w:cs="仿宋_GB2312"/>
                <w:color w:val="auto"/>
                <w:kern w:val="2"/>
                <w:sz w:val="28"/>
                <w:szCs w:val="28"/>
                <w:lang w:val="en-US" w:eastAsia="zh-CN" w:bidi="ar-SA"/>
              </w:rPr>
              <w:t>思路清晰完整，富有创意，亮点突出，具有高度的可行性。②</w:t>
            </w:r>
            <w:r>
              <w:rPr>
                <w:rFonts w:hint="eastAsia" w:ascii="仿宋_GB2312" w:hAnsi="仿宋_GB2312" w:eastAsia="仿宋_GB2312" w:cs="仿宋_GB2312"/>
                <w:color w:val="auto"/>
                <w:kern w:val="2"/>
                <w:sz w:val="28"/>
                <w:szCs w:val="28"/>
                <w:u w:val="single"/>
                <w:lang w:val="en-US" w:eastAsia="zh-CN" w:bidi="ar-SA"/>
              </w:rPr>
              <w:t>8分：</w:t>
            </w:r>
            <w:r>
              <w:rPr>
                <w:rFonts w:hint="eastAsia" w:ascii="仿宋_GB2312" w:hAnsi="仿宋_GB2312" w:eastAsia="仿宋_GB2312" w:cs="仿宋_GB2312"/>
                <w:color w:val="auto"/>
                <w:kern w:val="2"/>
                <w:sz w:val="28"/>
                <w:szCs w:val="28"/>
                <w:lang w:val="en-US" w:eastAsia="zh-CN" w:bidi="ar-SA"/>
              </w:rPr>
              <w:t>思路较为清晰，方案具有一定的创意和可行性。③</w:t>
            </w:r>
            <w:r>
              <w:rPr>
                <w:rFonts w:hint="eastAsia" w:ascii="仿宋_GB2312" w:hAnsi="仿宋_GB2312" w:eastAsia="仿宋_GB2312" w:cs="仿宋_GB2312"/>
                <w:color w:val="auto"/>
                <w:kern w:val="2"/>
                <w:sz w:val="28"/>
                <w:szCs w:val="28"/>
                <w:u w:val="single"/>
                <w:lang w:val="en-US" w:eastAsia="zh-CN" w:bidi="ar-SA"/>
              </w:rPr>
              <w:t>6分：</w:t>
            </w:r>
            <w:r>
              <w:rPr>
                <w:rFonts w:hint="eastAsia" w:ascii="仿宋_GB2312" w:hAnsi="仿宋_GB2312" w:eastAsia="仿宋_GB2312" w:cs="仿宋_GB2312"/>
                <w:color w:val="auto"/>
                <w:kern w:val="2"/>
                <w:sz w:val="28"/>
                <w:szCs w:val="28"/>
                <w:lang w:val="en-US" w:eastAsia="zh-CN" w:bidi="ar-SA"/>
              </w:rPr>
              <w:t>思路基本清晰，方案创新性或细节深度一般。④</w:t>
            </w:r>
            <w:r>
              <w:rPr>
                <w:rFonts w:hint="eastAsia" w:ascii="仿宋_GB2312" w:hAnsi="仿宋_GB2312" w:eastAsia="仿宋_GB2312" w:cs="仿宋_GB2312"/>
                <w:color w:val="auto"/>
                <w:kern w:val="2"/>
                <w:sz w:val="28"/>
                <w:szCs w:val="28"/>
                <w:u w:val="single"/>
                <w:lang w:val="en-US" w:eastAsia="zh-CN" w:bidi="ar-SA"/>
              </w:rPr>
              <w:t>6分以下：</w:t>
            </w:r>
            <w:r>
              <w:rPr>
                <w:rFonts w:hint="eastAsia" w:ascii="仿宋_GB2312" w:hAnsi="仿宋_GB2312" w:eastAsia="仿宋_GB2312" w:cs="仿宋_GB2312"/>
                <w:color w:val="auto"/>
                <w:kern w:val="2"/>
                <w:sz w:val="28"/>
                <w:szCs w:val="28"/>
                <w:lang w:val="en-US" w:eastAsia="zh-CN" w:bidi="ar-SA"/>
              </w:rPr>
              <w:t>思路模糊，方案不完整或与项目需求契合度较低。</w:t>
            </w:r>
          </w:p>
        </w:tc>
      </w:tr>
      <w:tr w14:paraId="084F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113" w:type="dxa"/>
            <w:noWrap w:val="0"/>
            <w:vAlign w:val="center"/>
          </w:tcPr>
          <w:p w14:paraId="7FEB21E7">
            <w:pPr>
              <w:keepNext w:val="0"/>
              <w:keepLines w:val="0"/>
              <w:pageBreakBefore w:val="0"/>
              <w:kinsoku/>
              <w:wordWrap/>
              <w:overflowPunct/>
              <w:topLinePunct w:val="0"/>
              <w:bidi w:val="0"/>
              <w:spacing w:line="56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1392" w:type="dxa"/>
            <w:noWrap w:val="0"/>
            <w:vAlign w:val="center"/>
          </w:tcPr>
          <w:p w14:paraId="177D12EF">
            <w:pPr>
              <w:keepNext w:val="0"/>
              <w:keepLines w:val="0"/>
              <w:pageBreakBefore w:val="0"/>
              <w:kinsoku/>
              <w:wordWrap/>
              <w:overflowPunct/>
              <w:topLinePunct w:val="0"/>
              <w:autoSpaceDE w:val="0"/>
              <w:autoSpaceDN w:val="0"/>
              <w:bidi w:val="0"/>
              <w:adjustRightInd w:val="0"/>
              <w:snapToGrid w:val="0"/>
              <w:spacing w:line="560" w:lineRule="exact"/>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lang w:val="en-US" w:eastAsia="zh-CN"/>
              </w:rPr>
              <w:t>项目案例（30分）</w:t>
            </w:r>
          </w:p>
        </w:tc>
        <w:tc>
          <w:tcPr>
            <w:tcW w:w="7466" w:type="dxa"/>
            <w:noWrap w:val="0"/>
            <w:vAlign w:val="center"/>
          </w:tcPr>
          <w:p w14:paraId="1123A3F3">
            <w:pPr>
              <w:keepNext w:val="0"/>
              <w:keepLines w:val="0"/>
              <w:pageBreakBefore w:val="0"/>
              <w:widowControl/>
              <w:kinsoku/>
              <w:wordWrap/>
              <w:overflowPunct/>
              <w:topLinePunct w:val="0"/>
              <w:autoSpaceDN/>
              <w:bidi w:val="0"/>
              <w:adjustRightInd/>
              <w:snapToGrid/>
              <w:spacing w:line="560" w:lineRule="exact"/>
              <w:jc w:val="left"/>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1、报价单位须提供至少1个以往承接的画册设计、折页设计等平面设计制作的项目案例材料。满足此基本要求，即可获得基础分10分；未提供或案例无效者，本项得0分。</w:t>
            </w:r>
          </w:p>
          <w:p w14:paraId="33AD20D0">
            <w:pPr>
              <w:keepNext w:val="0"/>
              <w:keepLines w:val="0"/>
              <w:pageBreakBefore w:val="0"/>
              <w:widowControl/>
              <w:kinsoku/>
              <w:wordWrap/>
              <w:overflowPunct/>
              <w:topLinePunct w:val="0"/>
              <w:autoSpaceDN/>
              <w:bidi w:val="0"/>
              <w:adjustRightInd/>
              <w:snapToGrid/>
              <w:spacing w:line="560" w:lineRule="exact"/>
              <w:jc w:val="left"/>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2、在满足上述基本要求的基础上，每多提供1个有效的类似项目案例，加1分。本项累计加分最高不超过5分。</w:t>
            </w:r>
          </w:p>
          <w:p w14:paraId="219DF976">
            <w:pPr>
              <w:keepNext w:val="0"/>
              <w:keepLines w:val="0"/>
              <w:pageBreakBefore w:val="0"/>
              <w:widowControl/>
              <w:kinsoku/>
              <w:wordWrap/>
              <w:overflowPunct/>
              <w:topLinePunct w:val="0"/>
              <w:autoSpaceDN/>
              <w:bidi w:val="0"/>
              <w:adjustRightInd/>
              <w:snapToGrid/>
              <w:spacing w:line="560" w:lineRule="exact"/>
              <w:jc w:val="left"/>
              <w:rPr>
                <w:rFonts w:hint="default" w:eastAsia="宋体"/>
                <w:color w:val="auto"/>
                <w:lang w:val="en-US" w:eastAsia="zh-CN"/>
              </w:rPr>
            </w:pPr>
            <w:r>
              <w:rPr>
                <w:rFonts w:hint="eastAsia" w:ascii="仿宋_GB2312" w:hAnsi="仿宋_GB2312" w:eastAsia="仿宋_GB2312" w:cs="仿宋_GB2312"/>
                <w:color w:val="auto"/>
                <w:kern w:val="2"/>
                <w:sz w:val="28"/>
                <w:szCs w:val="28"/>
                <w:lang w:val="en-US" w:eastAsia="zh-CN" w:bidi="ar-SA"/>
              </w:rPr>
              <w:t>3、</w:t>
            </w:r>
            <w:r>
              <w:rPr>
                <w:rFonts w:hint="eastAsia" w:ascii="仿宋_GB2312" w:hAnsi="仿宋_GB2312" w:eastAsia="仿宋_GB2312" w:cs="仿宋_GB2312"/>
                <w:color w:val="auto"/>
                <w:kern w:val="2"/>
                <w:sz w:val="28"/>
                <w:szCs w:val="28"/>
                <w:lang w:val="zh-CN" w:eastAsia="zh-CN" w:bidi="ar-SA"/>
              </w:rPr>
              <w:t>对</w:t>
            </w:r>
            <w:r>
              <w:rPr>
                <w:rFonts w:hint="eastAsia" w:ascii="仿宋_GB2312" w:hAnsi="仿宋_GB2312" w:eastAsia="仿宋_GB2312" w:cs="仿宋_GB2312"/>
                <w:color w:val="auto"/>
                <w:kern w:val="2"/>
                <w:sz w:val="28"/>
                <w:szCs w:val="28"/>
                <w:lang w:val="en-US" w:eastAsia="zh-CN" w:bidi="ar-SA"/>
              </w:rPr>
              <w:t>承接过国家级、自治区级、市级机关单位、大型集团企业项目案例的报价单位，可依据计分标准，国家级项目加</w:t>
            </w:r>
            <w:r>
              <w:rPr>
                <w:rFonts w:hint="eastAsia" w:ascii="仿宋_GB2312" w:hAnsi="仿宋_GB2312" w:eastAsia="仿宋_GB2312" w:cs="仿宋_GB2312"/>
                <w:color w:val="auto"/>
                <w:kern w:val="2"/>
                <w:sz w:val="28"/>
                <w:szCs w:val="28"/>
                <w:u w:val="single"/>
                <w:lang w:val="en-US" w:eastAsia="zh-CN" w:bidi="ar-SA"/>
              </w:rPr>
              <w:t>5分/个</w:t>
            </w:r>
            <w:r>
              <w:rPr>
                <w:rFonts w:hint="eastAsia" w:ascii="仿宋_GB2312" w:hAnsi="仿宋_GB2312" w:eastAsia="仿宋_GB2312" w:cs="仿宋_GB2312"/>
                <w:color w:val="auto"/>
                <w:kern w:val="2"/>
                <w:sz w:val="28"/>
                <w:szCs w:val="28"/>
                <w:lang w:val="en-US" w:eastAsia="zh-CN" w:bidi="ar-SA"/>
              </w:rPr>
              <w:t>，省（自治区）级项目加</w:t>
            </w:r>
            <w:r>
              <w:rPr>
                <w:rFonts w:hint="eastAsia" w:ascii="仿宋_GB2312" w:hAnsi="仿宋_GB2312" w:eastAsia="仿宋_GB2312" w:cs="仿宋_GB2312"/>
                <w:color w:val="auto"/>
                <w:kern w:val="2"/>
                <w:sz w:val="28"/>
                <w:szCs w:val="28"/>
                <w:u w:val="single"/>
                <w:lang w:val="en-US" w:eastAsia="zh-CN" w:bidi="ar-SA"/>
              </w:rPr>
              <w:t>3分/个</w:t>
            </w:r>
            <w:r>
              <w:rPr>
                <w:rFonts w:hint="eastAsia" w:ascii="仿宋_GB2312" w:hAnsi="仿宋_GB2312" w:eastAsia="仿宋_GB2312" w:cs="仿宋_GB2312"/>
                <w:color w:val="auto"/>
                <w:kern w:val="2"/>
                <w:sz w:val="28"/>
                <w:szCs w:val="28"/>
                <w:lang w:val="en-US" w:eastAsia="zh-CN" w:bidi="ar-SA"/>
              </w:rPr>
              <w:t>，市级或大型集团企业项目加</w:t>
            </w:r>
            <w:r>
              <w:rPr>
                <w:rFonts w:hint="eastAsia" w:ascii="仿宋_GB2312" w:hAnsi="仿宋_GB2312" w:eastAsia="仿宋_GB2312" w:cs="仿宋_GB2312"/>
                <w:color w:val="auto"/>
                <w:kern w:val="2"/>
                <w:sz w:val="28"/>
                <w:szCs w:val="28"/>
                <w:u w:val="single"/>
                <w:lang w:val="en-US" w:eastAsia="zh-CN" w:bidi="ar-SA"/>
              </w:rPr>
              <w:t>2分/个</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b w:val="0"/>
                <w:bCs w:val="0"/>
                <w:color w:val="auto"/>
                <w:kern w:val="2"/>
                <w:sz w:val="28"/>
                <w:szCs w:val="28"/>
                <w:lang w:val="en-US" w:eastAsia="zh-CN" w:bidi="ar-SA"/>
              </w:rPr>
              <w:t>本项累计加分最高不超过15分。</w:t>
            </w:r>
            <w:r>
              <w:rPr>
                <w:rFonts w:hint="eastAsia" w:ascii="仿宋_GB2312" w:hAnsi="仿宋_GB2312" w:eastAsia="仿宋_GB2312" w:cs="仿宋_GB2312"/>
                <w:color w:val="auto"/>
                <w:kern w:val="2"/>
                <w:sz w:val="28"/>
                <w:szCs w:val="28"/>
                <w:lang w:val="en-US" w:eastAsia="zh-CN" w:bidi="ar-SA"/>
              </w:rPr>
              <w:t>（需在项目案例后标明项目案例的级别）</w:t>
            </w:r>
          </w:p>
        </w:tc>
      </w:tr>
    </w:tbl>
    <w:p w14:paraId="12A5F956">
      <w:pPr>
        <w:pStyle w:val="15"/>
        <w:rPr>
          <w:rFonts w:hint="eastAsia" w:ascii="仿宋_GB2312" w:hAnsi="仿宋_GB2312" w:eastAsia="仿宋_GB2312" w:cs="仿宋_GB2312"/>
          <w:sz w:val="32"/>
          <w:szCs w:val="32"/>
          <w:lang w:val="en-US" w:eastAsia="zh-CN"/>
        </w:rPr>
      </w:pPr>
    </w:p>
    <w:p w14:paraId="5D42F966">
      <w:pPr>
        <w:rPr>
          <w:rFonts w:hint="default" w:ascii="方正小标宋简体" w:hAnsi="方正小标宋简体" w:eastAsia="方正小标宋简体" w:cs="方正小标宋简体"/>
          <w:sz w:val="44"/>
          <w:szCs w:val="44"/>
          <w:lang w:val="en-US" w:eastAsia="zh-CN"/>
        </w:rPr>
        <w:sectPr>
          <w:footerReference r:id="rId4" w:type="default"/>
          <w:pgSz w:w="11906" w:h="16838"/>
          <w:pgMar w:top="1702" w:right="1133" w:bottom="993" w:left="141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438876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49E6430E">
      <w:pPr>
        <w:pStyle w:val="15"/>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委托授权书</w:t>
      </w:r>
    </w:p>
    <w:p w14:paraId="25EFC4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p>
    <w:p w14:paraId="5EE6CF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致：</w:t>
      </w:r>
      <w:r>
        <w:rPr>
          <w:rFonts w:hint="eastAsia" w:ascii="仿宋_GB2312" w:hAnsi="仿宋_GB2312" w:eastAsia="仿宋_GB2312" w:cs="仿宋_GB2312"/>
          <w:kern w:val="0"/>
          <w:sz w:val="32"/>
          <w:szCs w:val="32"/>
          <w:u w:val="single"/>
          <w:lang w:val="en-US" w:eastAsia="zh-CN"/>
        </w:rPr>
        <w:t>南宁市工人文化宫</w:t>
      </w:r>
    </w:p>
    <w:p w14:paraId="1DB3CB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本授权书声明：</w:t>
      </w:r>
      <w:r>
        <w:rPr>
          <w:rFonts w:hint="eastAsia" w:ascii="仿宋_GB2312" w:hAnsi="仿宋_GB2312" w:eastAsia="仿宋_GB2312" w:cs="仿宋_GB2312"/>
          <w:kern w:val="0"/>
          <w:sz w:val="32"/>
          <w:szCs w:val="32"/>
          <w:u w:val="single"/>
        </w:rPr>
        <w:t>（法定代表人姓名）</w:t>
      </w:r>
      <w:r>
        <w:rPr>
          <w:rFonts w:hint="eastAsia" w:ascii="仿宋_GB2312" w:hAnsi="仿宋_GB2312" w:eastAsia="仿宋_GB2312" w:cs="仿宋_GB2312"/>
          <w:kern w:val="0"/>
          <w:sz w:val="32"/>
          <w:szCs w:val="32"/>
        </w:rPr>
        <w:t>是注册于</w:t>
      </w:r>
      <w:r>
        <w:rPr>
          <w:rFonts w:hint="eastAsia" w:ascii="仿宋_GB2312" w:hAnsi="仿宋_GB2312" w:eastAsia="仿宋_GB2312" w:cs="仿宋_GB2312"/>
          <w:kern w:val="0"/>
          <w:sz w:val="32"/>
          <w:szCs w:val="32"/>
          <w:u w:val="single"/>
        </w:rPr>
        <w:t>（省、市、县）</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u w:val="single"/>
        </w:rPr>
        <w:t>（报价人</w:t>
      </w:r>
      <w:r>
        <w:rPr>
          <w:rFonts w:hint="eastAsia" w:ascii="仿宋_GB2312" w:hAnsi="仿宋_GB2312" w:eastAsia="仿宋_GB2312" w:cs="仿宋_GB2312"/>
          <w:kern w:val="0"/>
          <w:sz w:val="32"/>
          <w:szCs w:val="32"/>
          <w:u w:val="single"/>
          <w:lang w:val="en-US" w:eastAsia="zh-CN"/>
        </w:rPr>
        <w:t>公司</w:t>
      </w:r>
      <w:r>
        <w:rPr>
          <w:rFonts w:hint="eastAsia" w:ascii="仿宋_GB2312" w:hAnsi="仿宋_GB2312" w:eastAsia="仿宋_GB2312" w:cs="仿宋_GB2312"/>
          <w:kern w:val="0"/>
          <w:sz w:val="32"/>
          <w:szCs w:val="32"/>
          <w:u w:val="single"/>
        </w:rPr>
        <w:t>名称）</w:t>
      </w:r>
      <w:r>
        <w:rPr>
          <w:rFonts w:hint="eastAsia" w:ascii="仿宋_GB2312" w:hAnsi="仿宋_GB2312" w:eastAsia="仿宋_GB2312" w:cs="仿宋_GB2312"/>
          <w:kern w:val="0"/>
          <w:sz w:val="32"/>
          <w:szCs w:val="32"/>
        </w:rPr>
        <w:t>的法定代表人，现任</w:t>
      </w:r>
      <w:r>
        <w:rPr>
          <w:rFonts w:hint="eastAsia" w:ascii="仿宋_GB2312" w:hAnsi="仿宋_GB2312" w:eastAsia="仿宋_GB2312" w:cs="仿宋_GB2312"/>
          <w:kern w:val="0"/>
          <w:sz w:val="32"/>
          <w:szCs w:val="32"/>
          <w:u w:val="single"/>
        </w:rPr>
        <w:t>（法定代表人职务）</w:t>
      </w:r>
      <w:r>
        <w:rPr>
          <w:rFonts w:hint="eastAsia" w:ascii="仿宋_GB2312" w:hAnsi="仿宋_GB2312" w:eastAsia="仿宋_GB2312" w:cs="仿宋_GB2312"/>
          <w:kern w:val="0"/>
          <w:sz w:val="32"/>
          <w:szCs w:val="32"/>
        </w:rPr>
        <w:t>，在此授权委托</w:t>
      </w:r>
      <w:r>
        <w:rPr>
          <w:rFonts w:hint="eastAsia" w:ascii="仿宋_GB2312" w:hAnsi="仿宋_GB2312" w:eastAsia="仿宋_GB2312" w:cs="仿宋_GB2312"/>
          <w:kern w:val="0"/>
          <w:sz w:val="32"/>
          <w:szCs w:val="32"/>
          <w:u w:val="single"/>
        </w:rPr>
        <w:t>（单位、职务）</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u w:val="single"/>
        </w:rPr>
        <w:t>（姓名）（身份证号码）</w:t>
      </w:r>
      <w:r>
        <w:rPr>
          <w:rFonts w:hint="eastAsia" w:ascii="仿宋_GB2312" w:hAnsi="仿宋_GB2312" w:eastAsia="仿宋_GB2312" w:cs="仿宋_GB2312"/>
          <w:kern w:val="0"/>
          <w:sz w:val="32"/>
          <w:szCs w:val="32"/>
        </w:rPr>
        <w:t>为我方全权代理人，</w:t>
      </w:r>
      <w:r>
        <w:rPr>
          <w:rFonts w:hint="eastAsia" w:ascii="仿宋_GB2312" w:hAnsi="仿宋_GB2312" w:eastAsia="仿宋_GB2312" w:cs="仿宋_GB2312"/>
          <w:kern w:val="0"/>
          <w:sz w:val="32"/>
          <w:szCs w:val="32"/>
          <w:u w:val="none"/>
        </w:rPr>
        <w:t>在</w:t>
      </w:r>
      <w:r>
        <w:rPr>
          <w:rFonts w:hint="eastAsia" w:ascii="仿宋_GB2312" w:hAnsi="仿宋_GB2312" w:eastAsia="仿宋_GB2312" w:cs="仿宋_GB2312"/>
          <w:kern w:val="0"/>
          <w:sz w:val="32"/>
          <w:szCs w:val="32"/>
          <w:u w:val="single"/>
          <w:lang w:val="en-US" w:eastAsia="zh-CN"/>
        </w:rPr>
        <w:t>南</w:t>
      </w:r>
      <w:r>
        <w:rPr>
          <w:rFonts w:hint="eastAsia" w:ascii="仿宋_GB2312" w:hAnsi="仿宋_GB2312" w:eastAsia="仿宋_GB2312" w:cs="仿宋_GB2312"/>
          <w:kern w:val="0"/>
          <w:sz w:val="32"/>
          <w:szCs w:val="32"/>
          <w:u w:val="single"/>
        </w:rPr>
        <w:t>宁市工人文化宫</w:t>
      </w:r>
      <w:r>
        <w:rPr>
          <w:rFonts w:hint="eastAsia" w:ascii="仿宋_GB2312" w:hAnsi="仿宋_GB2312" w:eastAsia="仿宋_GB2312" w:cs="仿宋_GB2312"/>
          <w:kern w:val="0"/>
          <w:sz w:val="32"/>
          <w:szCs w:val="32"/>
          <w:u w:val="single"/>
          <w:lang w:val="en-US" w:eastAsia="zh-CN"/>
        </w:rPr>
        <w:t>恢复开放十周年特辑</w:t>
      </w:r>
      <w:r>
        <w:rPr>
          <w:rFonts w:hint="eastAsia" w:ascii="仿宋_GB2312" w:hAnsi="仿宋_GB2312" w:eastAsia="仿宋_GB2312" w:cs="仿宋_GB2312"/>
          <w:kern w:val="0"/>
          <w:sz w:val="32"/>
          <w:szCs w:val="32"/>
          <w:u w:val="single"/>
        </w:rPr>
        <w:t>画册</w:t>
      </w:r>
      <w:r>
        <w:rPr>
          <w:rFonts w:hint="eastAsia" w:ascii="仿宋_GB2312" w:hAnsi="仿宋_GB2312" w:eastAsia="仿宋_GB2312" w:cs="仿宋_GB2312"/>
          <w:sz w:val="32"/>
          <w:szCs w:val="32"/>
          <w:u w:val="single"/>
          <w:lang w:val="en-US" w:eastAsia="zh-CN"/>
        </w:rPr>
        <w:t>设计制作</w:t>
      </w:r>
      <w:r>
        <w:rPr>
          <w:rFonts w:hint="eastAsia" w:ascii="仿宋_GB2312" w:hAnsi="仿宋_GB2312" w:eastAsia="仿宋_GB2312" w:cs="仿宋_GB2312"/>
          <w:kern w:val="0"/>
          <w:sz w:val="32"/>
          <w:szCs w:val="32"/>
          <w:u w:val="single"/>
        </w:rPr>
        <w:t>项目</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lang w:val="en-US" w:eastAsia="zh-CN"/>
        </w:rPr>
        <w:t>报价</w:t>
      </w:r>
      <w:r>
        <w:rPr>
          <w:rFonts w:hint="eastAsia" w:ascii="仿宋_GB2312" w:hAnsi="仿宋_GB2312" w:eastAsia="仿宋_GB2312" w:cs="仿宋_GB2312"/>
          <w:kern w:val="0"/>
          <w:sz w:val="32"/>
          <w:szCs w:val="32"/>
        </w:rPr>
        <w:t>活动及其合同执行过程中，以我方的名义处理一切与之有关的事务。</w:t>
      </w:r>
    </w:p>
    <w:p w14:paraId="7860ED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代理人根据授权，以我方名义签署的一切文件和处理与之有关的一切事务，我司均予以承认并承担一切责任。</w:t>
      </w:r>
    </w:p>
    <w:p w14:paraId="3B4CBD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代理人无权转委托。</w:t>
      </w:r>
    </w:p>
    <w:p w14:paraId="015B156C">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特此委托。</w:t>
      </w:r>
    </w:p>
    <w:p w14:paraId="1FF5D6F4">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kern w:val="0"/>
          <w:sz w:val="32"/>
          <w:szCs w:val="32"/>
        </w:rPr>
      </w:pPr>
    </w:p>
    <w:p w14:paraId="79665A41">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本授权委托书于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日签字生效，特此声明。</w:t>
      </w:r>
    </w:p>
    <w:p w14:paraId="55ABF50F">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p>
    <w:p w14:paraId="7F9C858E">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p>
    <w:p w14:paraId="5C1D907C">
      <w:pPr>
        <w:pStyle w:val="15"/>
        <w:keepNext w:val="0"/>
        <w:keepLines w:val="0"/>
        <w:pageBreakBefore w:val="0"/>
        <w:widowControl w:val="0"/>
        <w:kinsoku/>
        <w:wordWrap/>
        <w:overflowPunct/>
        <w:topLinePunct w:val="0"/>
        <w:bidi w:val="0"/>
        <w:snapToGrid/>
        <w:spacing w:line="560" w:lineRule="exact"/>
        <w:ind w:firstLine="3520" w:firstLineChars="11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报价单位（盖章）：</w:t>
      </w:r>
    </w:p>
    <w:p w14:paraId="2C2C9392">
      <w:pPr>
        <w:pStyle w:val="15"/>
        <w:keepNext w:val="0"/>
        <w:keepLines w:val="0"/>
        <w:pageBreakBefore w:val="0"/>
        <w:widowControl w:val="0"/>
        <w:kinsoku/>
        <w:wordWrap/>
        <w:overflowPunct/>
        <w:topLinePunct w:val="0"/>
        <w:bidi w:val="0"/>
        <w:snapToGrid/>
        <w:spacing w:line="560" w:lineRule="exact"/>
        <w:ind w:firstLine="2240" w:firstLineChars="7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法定代表人（签字或盖章）：</w:t>
      </w:r>
    </w:p>
    <w:p w14:paraId="72F09CE0">
      <w:pPr>
        <w:pStyle w:val="15"/>
        <w:keepNext w:val="0"/>
        <w:keepLines w:val="0"/>
        <w:pageBreakBefore w:val="0"/>
        <w:widowControl w:val="0"/>
        <w:kinsoku/>
        <w:wordWrap/>
        <w:overflowPunct/>
        <w:topLinePunct w:val="0"/>
        <w:bidi w:val="0"/>
        <w:snapToGrid/>
        <w:spacing w:line="560" w:lineRule="exact"/>
        <w:ind w:firstLine="2240" w:firstLineChars="7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委托代理人（签字或盖章）：</w:t>
      </w:r>
    </w:p>
    <w:p w14:paraId="4D2D423E">
      <w:pPr>
        <w:pStyle w:val="15"/>
        <w:keepNext w:val="0"/>
        <w:keepLines w:val="0"/>
        <w:pageBreakBefore w:val="0"/>
        <w:widowControl w:val="0"/>
        <w:kinsoku/>
        <w:wordWrap/>
        <w:overflowPunct/>
        <w:topLinePunct w:val="0"/>
        <w:bidi w:val="0"/>
        <w:snapToGrid/>
        <w:spacing w:line="560" w:lineRule="exact"/>
        <w:ind w:firstLine="2240" w:firstLineChars="7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日期：</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lang w:val="en-US" w:eastAsia="zh-CN"/>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lang w:val="en-US" w:eastAsia="zh-CN"/>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lang w:val="en-US" w:eastAsia="zh-CN"/>
        </w:rPr>
        <w:t>日</w:t>
      </w:r>
    </w:p>
    <w:p w14:paraId="058AEAC0"/>
    <w:p w14:paraId="40FE3E8C"/>
    <w:sectPr>
      <w:pgSz w:w="11906" w:h="16838"/>
      <w:pgMar w:top="1702" w:right="1133" w:bottom="993" w:left="141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91E0B8-F10E-44D2-B3B2-3AFBFE3107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761F6FD4-6A2F-4B8E-A9B5-8DDB001005AF}"/>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D918C8AC-89D5-4EEB-99A7-26B43D39B0FA}"/>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6FC2ECB5-B755-47E2-BD88-CA8DA62AD960}"/>
  </w:font>
  <w:font w:name="方正楷体_GB2312">
    <w:altName w:val="宋体"/>
    <w:panose1 w:val="02000000000000000000"/>
    <w:charset w:val="86"/>
    <w:family w:val="auto"/>
    <w:pitch w:val="default"/>
    <w:sig w:usb0="00000000" w:usb1="00000000" w:usb2="00000012" w:usb3="00000000" w:csb0="00040001" w:csb1="00000000"/>
    <w:embedRegular r:id="rId5" w:fontKey="{E191305E-FE87-4E5B-8F25-56F3F50390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74E2">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51F5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351F5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48DD917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126D5">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1986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E1986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E2504"/>
    <w:rsid w:val="008729AB"/>
    <w:rsid w:val="01502771"/>
    <w:rsid w:val="017930F7"/>
    <w:rsid w:val="02B362DA"/>
    <w:rsid w:val="03203E13"/>
    <w:rsid w:val="033B73E2"/>
    <w:rsid w:val="03B51287"/>
    <w:rsid w:val="041823BC"/>
    <w:rsid w:val="055005D7"/>
    <w:rsid w:val="05BD6641"/>
    <w:rsid w:val="05E9165D"/>
    <w:rsid w:val="061F4067"/>
    <w:rsid w:val="06362E18"/>
    <w:rsid w:val="067D53EB"/>
    <w:rsid w:val="06EF67B9"/>
    <w:rsid w:val="06F86855"/>
    <w:rsid w:val="0764032D"/>
    <w:rsid w:val="077C0FB1"/>
    <w:rsid w:val="087A5704"/>
    <w:rsid w:val="08987D5F"/>
    <w:rsid w:val="08E109FC"/>
    <w:rsid w:val="090813C4"/>
    <w:rsid w:val="09E27D87"/>
    <w:rsid w:val="0A00672A"/>
    <w:rsid w:val="0A140EE3"/>
    <w:rsid w:val="0A2C1BA5"/>
    <w:rsid w:val="0AC6060F"/>
    <w:rsid w:val="0C4B6FDD"/>
    <w:rsid w:val="0C5E65EE"/>
    <w:rsid w:val="0C9D15AD"/>
    <w:rsid w:val="0CF705D6"/>
    <w:rsid w:val="0D3F6A2C"/>
    <w:rsid w:val="0F740951"/>
    <w:rsid w:val="10732A8B"/>
    <w:rsid w:val="10D053A3"/>
    <w:rsid w:val="1156213B"/>
    <w:rsid w:val="11677EC4"/>
    <w:rsid w:val="13280D8D"/>
    <w:rsid w:val="133D729E"/>
    <w:rsid w:val="13B76D09"/>
    <w:rsid w:val="14227D18"/>
    <w:rsid w:val="14FE4870"/>
    <w:rsid w:val="151E12E6"/>
    <w:rsid w:val="15FD5E8D"/>
    <w:rsid w:val="16252961"/>
    <w:rsid w:val="165E049B"/>
    <w:rsid w:val="16867B23"/>
    <w:rsid w:val="18671C16"/>
    <w:rsid w:val="1876544E"/>
    <w:rsid w:val="18C26AAD"/>
    <w:rsid w:val="18DA7080"/>
    <w:rsid w:val="18E55D68"/>
    <w:rsid w:val="1A2C28FF"/>
    <w:rsid w:val="1B394F38"/>
    <w:rsid w:val="1B42247E"/>
    <w:rsid w:val="1B50295E"/>
    <w:rsid w:val="1B8A362E"/>
    <w:rsid w:val="1C151423"/>
    <w:rsid w:val="1C662CBC"/>
    <w:rsid w:val="1C9232A9"/>
    <w:rsid w:val="1DF201C6"/>
    <w:rsid w:val="1E5C442E"/>
    <w:rsid w:val="1E6B3AF5"/>
    <w:rsid w:val="1E9C5A76"/>
    <w:rsid w:val="1EC37D48"/>
    <w:rsid w:val="1FB11C0E"/>
    <w:rsid w:val="1FBD0E9C"/>
    <w:rsid w:val="20462102"/>
    <w:rsid w:val="20E917CB"/>
    <w:rsid w:val="22AB01D6"/>
    <w:rsid w:val="22C03B87"/>
    <w:rsid w:val="22DB2BBC"/>
    <w:rsid w:val="25445C0D"/>
    <w:rsid w:val="259D0DA5"/>
    <w:rsid w:val="261B3B23"/>
    <w:rsid w:val="26855E37"/>
    <w:rsid w:val="26EF2570"/>
    <w:rsid w:val="27A60A1A"/>
    <w:rsid w:val="284D3113"/>
    <w:rsid w:val="28B5605D"/>
    <w:rsid w:val="28F53BBF"/>
    <w:rsid w:val="29C1374D"/>
    <w:rsid w:val="2B155F11"/>
    <w:rsid w:val="2C5245FB"/>
    <w:rsid w:val="2C75086C"/>
    <w:rsid w:val="2C8E4ACB"/>
    <w:rsid w:val="2CDF24AB"/>
    <w:rsid w:val="2D49572A"/>
    <w:rsid w:val="2F724463"/>
    <w:rsid w:val="30C6521E"/>
    <w:rsid w:val="3124164E"/>
    <w:rsid w:val="31F80989"/>
    <w:rsid w:val="326C4928"/>
    <w:rsid w:val="3375117B"/>
    <w:rsid w:val="33B850E7"/>
    <w:rsid w:val="344F68DF"/>
    <w:rsid w:val="348B0CC3"/>
    <w:rsid w:val="349550E7"/>
    <w:rsid w:val="34E601A4"/>
    <w:rsid w:val="35A82394"/>
    <w:rsid w:val="366E2504"/>
    <w:rsid w:val="37410AB5"/>
    <w:rsid w:val="383166DB"/>
    <w:rsid w:val="38510385"/>
    <w:rsid w:val="38695A2C"/>
    <w:rsid w:val="3ADE57C2"/>
    <w:rsid w:val="3B6B5A08"/>
    <w:rsid w:val="3C6D25A0"/>
    <w:rsid w:val="3C8C41FB"/>
    <w:rsid w:val="3E83261C"/>
    <w:rsid w:val="401922D3"/>
    <w:rsid w:val="406B78D5"/>
    <w:rsid w:val="436D772C"/>
    <w:rsid w:val="43FA627D"/>
    <w:rsid w:val="44F920C5"/>
    <w:rsid w:val="467F3452"/>
    <w:rsid w:val="477E54A5"/>
    <w:rsid w:val="47BF63C2"/>
    <w:rsid w:val="480314A0"/>
    <w:rsid w:val="483077EB"/>
    <w:rsid w:val="48A66B71"/>
    <w:rsid w:val="495A19E6"/>
    <w:rsid w:val="496E2B6D"/>
    <w:rsid w:val="49F33B9B"/>
    <w:rsid w:val="4A297EA8"/>
    <w:rsid w:val="4A7179C5"/>
    <w:rsid w:val="4A760EB9"/>
    <w:rsid w:val="4C1B0B8A"/>
    <w:rsid w:val="4CF61416"/>
    <w:rsid w:val="4D526744"/>
    <w:rsid w:val="4EFB1622"/>
    <w:rsid w:val="4F474E54"/>
    <w:rsid w:val="4FB176DE"/>
    <w:rsid w:val="502B7796"/>
    <w:rsid w:val="513F0557"/>
    <w:rsid w:val="545E69D2"/>
    <w:rsid w:val="54B63B68"/>
    <w:rsid w:val="55054E50"/>
    <w:rsid w:val="552A4A00"/>
    <w:rsid w:val="55F35501"/>
    <w:rsid w:val="572665E7"/>
    <w:rsid w:val="57EC3417"/>
    <w:rsid w:val="5828289B"/>
    <w:rsid w:val="590A0C84"/>
    <w:rsid w:val="59A51FC3"/>
    <w:rsid w:val="5A024538"/>
    <w:rsid w:val="5A5940F8"/>
    <w:rsid w:val="5AF9704F"/>
    <w:rsid w:val="5B935C23"/>
    <w:rsid w:val="5C264B08"/>
    <w:rsid w:val="5CF7110F"/>
    <w:rsid w:val="5D2109DF"/>
    <w:rsid w:val="5FA7097C"/>
    <w:rsid w:val="6091637B"/>
    <w:rsid w:val="612F4D3B"/>
    <w:rsid w:val="630E2DCF"/>
    <w:rsid w:val="63166567"/>
    <w:rsid w:val="647F7932"/>
    <w:rsid w:val="651854F8"/>
    <w:rsid w:val="67E62186"/>
    <w:rsid w:val="68CF38DE"/>
    <w:rsid w:val="69436E95"/>
    <w:rsid w:val="694542C0"/>
    <w:rsid w:val="6D5F0BE7"/>
    <w:rsid w:val="6D9E3344"/>
    <w:rsid w:val="6E016330"/>
    <w:rsid w:val="6E6F2164"/>
    <w:rsid w:val="6E7177C1"/>
    <w:rsid w:val="6EDD6095"/>
    <w:rsid w:val="6F4E7740"/>
    <w:rsid w:val="6F521A9C"/>
    <w:rsid w:val="736C79F3"/>
    <w:rsid w:val="738A0DF5"/>
    <w:rsid w:val="73C9698B"/>
    <w:rsid w:val="74226C39"/>
    <w:rsid w:val="74456ECF"/>
    <w:rsid w:val="77F41933"/>
    <w:rsid w:val="784F3A7D"/>
    <w:rsid w:val="78D4732E"/>
    <w:rsid w:val="78DA57F1"/>
    <w:rsid w:val="79853F6B"/>
    <w:rsid w:val="79EB68BD"/>
    <w:rsid w:val="7A4C3D34"/>
    <w:rsid w:val="7A595579"/>
    <w:rsid w:val="7AFD0A4F"/>
    <w:rsid w:val="7B756C9A"/>
    <w:rsid w:val="7DBE5E20"/>
    <w:rsid w:val="7FA414AF"/>
    <w:rsid w:val="7FCD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autoSpaceDE w:val="0"/>
      <w:autoSpaceDN w:val="0"/>
      <w:ind w:left="880"/>
      <w:jc w:val="left"/>
    </w:pPr>
    <w:rPr>
      <w:rFonts w:ascii="宋体" w:hAnsi="宋体" w:eastAsia="宋体" w:cs="宋体"/>
      <w:kern w:val="0"/>
      <w:sz w:val="24"/>
      <w:szCs w:val="24"/>
    </w:rPr>
  </w:style>
  <w:style w:type="paragraph" w:styleId="4">
    <w:name w:val="Body Text 2"/>
    <w:basedOn w:val="1"/>
    <w:qFormat/>
    <w:uiPriority w:val="0"/>
    <w:pPr>
      <w:spacing w:after="120" w:line="480" w:lineRule="auto"/>
    </w:pPr>
  </w:style>
  <w:style w:type="paragraph" w:styleId="5">
    <w:name w:val="Body Text Indent"/>
    <w:basedOn w:val="1"/>
    <w:qFormat/>
    <w:uiPriority w:val="0"/>
    <w:pPr>
      <w:ind w:firstLine="555"/>
    </w:pPr>
    <w:rPr>
      <w:rFonts w:ascii="Calibri" w:hAnsi="Calibri"/>
    </w:rPr>
  </w:style>
  <w:style w:type="paragraph" w:styleId="6">
    <w:name w:val="Plain Text"/>
    <w:basedOn w:val="1"/>
    <w:next w:val="1"/>
    <w:qFormat/>
    <w:uiPriority w:val="99"/>
    <w:rPr>
      <w:rFonts w:ascii="宋体" w:hAnsi="Courier New"/>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rPr>
      <w:sz w:val="24"/>
    </w:rPr>
  </w:style>
  <w:style w:type="paragraph" w:styleId="9">
    <w:name w:val="Body Text First Indent 2"/>
    <w:basedOn w:val="5"/>
    <w:qFormat/>
    <w:uiPriority w:val="0"/>
    <w:pPr>
      <w:ind w:firstLine="420" w:firstLineChars="200"/>
    </w:pPr>
  </w:style>
  <w:style w:type="character" w:styleId="12">
    <w:name w:val="Strong"/>
    <w:basedOn w:val="11"/>
    <w:qFormat/>
    <w:uiPriority w:val="0"/>
    <w:rPr>
      <w:b/>
    </w:rPr>
  </w:style>
  <w:style w:type="paragraph" w:customStyle="1" w:styleId="13">
    <w:name w:val="正文_0"/>
    <w:next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缩进_0"/>
    <w:basedOn w:val="13"/>
    <w:next w:val="13"/>
    <w:qFormat/>
    <w:uiPriority w:val="99"/>
    <w:pPr>
      <w:widowControl/>
      <w:ind w:firstLine="420"/>
      <w:jc w:val="left"/>
    </w:pPr>
    <w:rPr>
      <w:rFonts w:ascii="Calibri" w:hAnsi="Calibri"/>
      <w:sz w:val="20"/>
      <w:szCs w:val="20"/>
    </w:rPr>
  </w:style>
  <w:style w:type="paragraph" w:customStyle="1" w:styleId="1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1290</Words>
  <Characters>1374</Characters>
  <Lines>0</Lines>
  <Paragraphs>0</Paragraphs>
  <TotalTime>14</TotalTime>
  <ScaleCrop>false</ScaleCrop>
  <LinksUpToDate>false</LinksUpToDate>
  <CharactersWithSpaces>1435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2026-01-29T07:54:00Z</dcterms:created>
  <dc:creator>庞国婷</dc:creator>
  <cp:lastModifiedBy>Administrator</cp:lastModifiedBy>
  <dcterms:modified xsi:type="dcterms:W3CDTF">2026-02-27T00:30:21Z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AD8BF159099B4A49AC952E78B8DDED8D_13</vt:lpwstr>
  </property>
  <property fmtid="{D5CDD505-2E9C-101B-9397-08002B2CF9AE}" pid="4" name="KSOTemplateDocerSaveRecord">
    <vt:lpwstr>eyJoZGlkIjoiZTFmY2VjOGU4OGQ3MWRhMmI3YzcxZDNkZjhkZWFlZWUiLCJ1c2VySWQiOiIzMjc2NDg3NjYifQ==</vt:lpwstr>
  </property>
</Properties>
</file>