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>
      <w:pPr>
        <w:widowControl/>
        <w:spacing w:line="580" w:lineRule="exact"/>
        <w:ind w:firstLine="658"/>
        <w:rPr>
          <w:rFonts w:ascii="宋体" w:hAnsi="Courier New" w:eastAsia="仿宋" w:cs="Times New Roman"/>
          <w:color w:val="000000" w:themeColor="text1"/>
          <w:sz w:val="32"/>
          <w:szCs w:val="20"/>
          <w14:textFill>
            <w14:solidFill>
              <w14:schemeClr w14:val="tx1"/>
            </w14:solidFill>
          </w14:textFill>
        </w:rPr>
      </w:pPr>
    </w:p>
    <w:p>
      <w:pPr>
        <w:autoSpaceDE w:val="0"/>
        <w:spacing w:line="560" w:lineRule="exact"/>
        <w:ind w:left="-13" w:leftChars="-67" w:hanging="128" w:hangingChars="32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bookmarkStart w:id="0" w:name="OLE_LINK4"/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南宁市工人文化宫2026年职工文化</w:t>
      </w:r>
    </w:p>
    <w:p>
      <w:pPr>
        <w:autoSpaceDE w:val="0"/>
        <w:spacing w:line="560" w:lineRule="exact"/>
        <w:ind w:left="-13" w:leftChars="-67" w:hanging="128" w:hangingChars="32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短剧制作项目评分标准和评分方法</w:t>
      </w:r>
    </w:p>
    <w:bookmarkEnd w:id="0"/>
    <w:p>
      <w:pPr>
        <w:pStyle w:val="11"/>
        <w:rPr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审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内容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项目所述内容是指南宁市工人文化宫2026年职工文化短剧制作，包含完整剧本扩写优化、分集脚本创作、分镜脚本设计，AI角色建模、AI场景搭建、AI视频生成、后期剪辑、调色包装、字幕配乐、成片交付等全流程服务。</w:t>
      </w:r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审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（一）评审小组构成：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本项目的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小组由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南宁市工人文化宫3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人或以上单数构成。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（二）评审依据：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评委将以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供应商投递文件资料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依据，对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报价、方案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方面内容按百分制打分。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（三）评审方式：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按照“公正、公平、科学、择优”的原则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进行。</w:t>
      </w:r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评分办法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本次采用</w:t>
      </w:r>
      <w:r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综合评分法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确定服务供应商。评委将会对确定为实质性响应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文件要求的文件进行评价和比较，供应公司的最终得分以全部评委打分的</w:t>
      </w:r>
      <w:r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算术平均数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作为最终得分。评分结果按评审后得分由高到低顺序排列。得分相同的，按报价由低到高顺序排列。</w:t>
      </w:r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计分标准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本项目所有响应供应商，在遵循平等、自愿和诚实信用的原则下，默认为认可接受该项目甲方所提要求。对于进入评分的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应标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文件，采用百分制综合评分法，结合本项目具体情况，按下列标准打分：</w:t>
      </w:r>
    </w:p>
    <w:p>
      <w:pPr>
        <w:spacing w:line="5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（一）项目报价（满分</w:t>
      </w:r>
      <w:r>
        <w:rPr>
          <w:rFonts w:hint="eastAsia" w:ascii="楷体" w:hAnsi="楷体" w:eastAsia="楷体" w:cs="楷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楷体" w:hAnsi="楷体" w:eastAsia="楷体" w:cs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</w:t>
      </w:r>
    </w:p>
    <w:p>
      <w:pPr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1.供应商的最终报价应为含税价格，在附件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南宁市工人文化宫2026年职工文化短剧制作项目报价表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的相应位置进行报价，报价为含税价。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2.本次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上控价格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玖万柒仟元整（¥97000.00）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，供应商就服务内容给出具体报价，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单项“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最长时长合计价格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”最高分10分，单项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报价最低者为最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单项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报价由低到高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排序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，根据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数量，每个档次下降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分（最低分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三项“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最长时长合计价格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”分数相加，为项目报价总分。</w:t>
      </w:r>
    </w:p>
    <w:p>
      <w:pPr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楷体" w:hAnsi="楷体" w:eastAsia="楷体" w:cs="楷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项目能力</w:t>
      </w:r>
      <w:r>
        <w:rPr>
          <w:rFonts w:ascii="楷体" w:hAnsi="楷体" w:eastAsia="楷体" w:cs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（满分</w:t>
      </w:r>
      <w:r>
        <w:rPr>
          <w:rFonts w:hint="eastAsia" w:ascii="楷体" w:hAnsi="楷体" w:eastAsia="楷体" w:cs="楷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楷体" w:hAnsi="楷体" w:eastAsia="楷体" w:cs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本项以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提交的项目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成果（分镜脚本及视频样片）进行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综合评分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1.编剧创作能力</w:t>
      </w:r>
    </w:p>
    <w:p>
      <w:pPr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剧情结构与冲突设计（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分：剧情节奏紧凑，开篇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有亮点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，冲突点合理，完全符合短剧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热点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逻辑，无拖沓、无逻辑漏洞；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分：剧情结构完整，有基础冲突设计，节奏基本达标，少量细节瑕疵；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分：剧情平淡，冲突薄弱，逻辑混乱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节奏拖沓。</w:t>
      </w:r>
    </w:p>
    <w:p>
      <w:pPr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台词功底与人物塑造（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分：台词精炼、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口语自然、网络热梗多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、适配短视频传播，人物人设鲜明、情绪连贯、人设统一；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分：台词通顺，人物设定基本清晰，无明显人设崩塌；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分：台词生硬、书面化严重，台词不通顺，人物模糊、情绪断层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. 测试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编剧内容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与过往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同类案例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质量稳定性（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5分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分：有多部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类似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原创编剧成品，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过往作品质量佳，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本次测试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文本内容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与企业过往精品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案例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质量高度一致，团队实力稳定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分：有相关短剧编剧案例，作品质量稳定，题材匹配度中等，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本次测试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文本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与企业过往案例质量基本匹配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分：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本次测试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文本质量与企业过往优秀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质量落差较大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3.视频制作能力</w:t>
      </w:r>
    </w:p>
    <w:p>
      <w:pPr>
        <w:spacing w:line="560" w:lineRule="exact"/>
        <w:ind w:firstLine="643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画面质感、镜头语言与拍摄水准（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分：画面干净通透、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具有审美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构图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镜头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衔接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运镜流畅，光影氛围贴合短剧题材调性，画质精良；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人物声线符合形象，前后统一；人物形象模型稳定。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分：画面清晰，镜头稳定，构图合理，整体观感达标；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人物声线符合形象，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前后有轻微变化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；人物形象模型在个别镜头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有轻微变动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分：画面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普通、形象模糊毛糙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人物生成前后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有较大瑕疵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色彩变化大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声线前后不一致，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拍摄粗糙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人物形象模型前后变化较大。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3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剪辑节奏、转场与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后期包装（5分）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分：剪辑节奏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张弛有度，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转场自然流畅，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亮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点、看点突出，符合主流短剧观看节奏；调色统一高级，字幕规范美观，配乐、音效贴合剧情情绪，整体成片质感统一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分：剪辑流畅，节奏合理，无明显拖沓；调色正常，字幕配乐无明显问题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分：剪辑平淡，节奏偏慢，看点不突出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观感较差。调色混乱，字幕不规范，配乐违和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3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（3）测试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成片与过往案例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质量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稳定性（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分：有多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个类似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风格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过往案例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案例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作品质量佳；本次测试样片与企业过往精品案例质量高度一致，团队实力稳定、无严重落差；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分：有相关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过往案例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案例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作品质量稳定，本次测试样片与企业过往案例质量基本匹配，小幅落差；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案例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作品质量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不稳定，或者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本次测试样片远差于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企业过往优秀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案例。</w:t>
      </w:r>
    </w:p>
    <w:p>
      <w:pPr>
        <w:spacing w:line="560" w:lineRule="exact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（三）项目案例成果（满分20分）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报价单位应提供与本次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项目相近的往期项目案例材料。合作方为国家级、省级、市级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按级别最高一个案例计算，不累加，所有案例须同步提供证明材料（如合同、协议、合作函等）及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剧本文本、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视频案例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若提供本单位作品获奖等级奖项可视为同等条件予以认可计分。合同涉密或无法完整提供的，可提供可公开的合作信息页（包含合作双方名称、合作事项、签约日期、盖章页等关键内容，隐去涉密条款），用以证明双方真实合作关系。视频无法提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播放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方式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案例无法提交的，可提供视频关键内容截图（不少于3张，能清晰体现案例场景、成果、实施效果等核心信息），或提交获奖证书、官方通报、验收文件、成果认定文件等截图作为替代佐证。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1.案例合作/获奖（10分）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国家级案例/国家级奖项10分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省级案例/省级奖项8分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市级案例/市级奖项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未提供符合要求案例或佐证材料不全0分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以最高级别案例/奖项计分，不重复累计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视频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案例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数量及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效果（10分）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本项依据本项目采购需求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业务交付标准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进行评判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7–10分：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作品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画面质量良好，叙事完整，制作精良，项目成果清晰，与本项目业务匹配度高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案例数量丰富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4–6分：画面、内容基本完整，制作一般，与本项目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业务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有一定匹配度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有一定案例数量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–3分：未提交案例素材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素材简单粗糙，内容单薄，成果展示有限，业务匹配度低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（四）、项目执行（满分20分）</w:t>
      </w:r>
    </w:p>
    <w:p>
      <w:pPr>
        <w:spacing w:line="520" w:lineRule="exact"/>
        <w:ind w:firstLine="640" w:firstLineChars="200"/>
        <w:jc w:val="left"/>
        <w:rPr>
          <w:rStyle w:val="32"/>
          <w:rFonts w:hint="eastAsia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 团队及资源配置（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</w:t>
      </w:r>
    </w:p>
    <w:p>
      <w:pPr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单位结合项目需求，展示自身业务实施能力，包括项目专项团队人员明细（岗位、从业经验、资质）、配套设备规模等内容。材料完整、人员配置合理、设备资源可保障项目落地得满分；信息缺项、人员/设备配置不足以支撑项目酌情扣分，未提供不得分。</w:t>
      </w:r>
    </w:p>
    <w:p>
      <w:pPr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 服务保障与应急响应（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审服务保障方案、日常服务响应机制、服务稳定性管控措施（含人员流动交接方案，避免人员变动造成服务中断）；具备完善的项目临时变动应急处置机制。方案完整可行、责任清晰得满分；内容简略、缺少人员交接或应急处置条款酌情扣分，未提供不得分。</w:t>
      </w:r>
    </w:p>
    <w:p>
      <w:pPr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3.制作管控承诺（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</w:t>
      </w:r>
    </w:p>
    <w:p>
      <w:pPr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明确项目整体制作周期、需求反馈响应时限、修改管理规则、全过程质量控制措施。各项承诺清晰可落地得满分；缺项、表述模糊酌情扣分，未提供不得分。</w:t>
      </w:r>
    </w:p>
    <w:p>
      <w:pPr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 增值服务（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</w:t>
      </w:r>
    </w:p>
    <w:p>
      <w:pPr>
        <w:spacing w:line="52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在满足采购文件约定项目基础服务内容之外，报价单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位可提供增值服务。每提供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项可落地、有实质价值的有效增值服务得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分，本项累计最高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分；仅泛泛表述无具体内容的不计分。</w:t>
      </w:r>
    </w:p>
    <w:p>
      <w:pPr>
        <w:widowControl/>
        <w:spacing w:line="560" w:lineRule="exact"/>
        <w:ind w:firstLine="658"/>
        <w:rPr>
          <w:rFonts w:hint="eastAsia" w:ascii="宋体" w:hAnsi="Courier New" w:eastAsia="仿宋" w:cs="Times New Roman"/>
          <w:color w:val="000000" w:themeColor="text1"/>
          <w:sz w:val="32"/>
          <w:szCs w:val="20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8DA385-1D4C-4C0E-87F0-37D6528090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46E101FF-D308-4312-864A-12682F1F2EA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3DB9891-6E53-415B-9A77-724F9F8543B1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CB50F01-5ED8-4E96-8B7F-4407A2FE3D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08DCC31-DD10-45F6-982B-D0FAE352082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70DE46C-D3A3-4A2E-8DDB-95EF5480FA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2414012"/>
      <w:docPartObj>
        <w:docPartGallery w:val="autotext"/>
      </w:docPartObj>
    </w:sdtPr>
    <w:sdtContent>
      <w:p>
        <w:pPr>
          <w:pStyle w:val="1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2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68A725"/>
    <w:multiLevelType w:val="singleLevel"/>
    <w:tmpl w:val="EA68A725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8E0"/>
    <w:rsid w:val="00285532"/>
    <w:rsid w:val="003418E0"/>
    <w:rsid w:val="003463DC"/>
    <w:rsid w:val="00514019"/>
    <w:rsid w:val="005A6D81"/>
    <w:rsid w:val="005B628B"/>
    <w:rsid w:val="005F6337"/>
    <w:rsid w:val="007410C6"/>
    <w:rsid w:val="007547A7"/>
    <w:rsid w:val="00926D03"/>
    <w:rsid w:val="00992107"/>
    <w:rsid w:val="00A56BF3"/>
    <w:rsid w:val="00CA6992"/>
    <w:rsid w:val="00E062E9"/>
    <w:rsid w:val="00EB175C"/>
    <w:rsid w:val="04003C30"/>
    <w:rsid w:val="0F432E2C"/>
    <w:rsid w:val="10416259"/>
    <w:rsid w:val="1B5D0517"/>
    <w:rsid w:val="1C4905E7"/>
    <w:rsid w:val="20AC2455"/>
    <w:rsid w:val="280F6FF7"/>
    <w:rsid w:val="286372BA"/>
    <w:rsid w:val="2D104F33"/>
    <w:rsid w:val="2D747C5A"/>
    <w:rsid w:val="2E924873"/>
    <w:rsid w:val="2F4B1E1B"/>
    <w:rsid w:val="31A0523C"/>
    <w:rsid w:val="33D94C94"/>
    <w:rsid w:val="378B2478"/>
    <w:rsid w:val="381C0C08"/>
    <w:rsid w:val="3B510614"/>
    <w:rsid w:val="3EA669A8"/>
    <w:rsid w:val="3F20162E"/>
    <w:rsid w:val="56297C82"/>
    <w:rsid w:val="56E60E63"/>
    <w:rsid w:val="587D0E58"/>
    <w:rsid w:val="5AB32454"/>
    <w:rsid w:val="60EF2FFF"/>
    <w:rsid w:val="65562818"/>
    <w:rsid w:val="6773145F"/>
    <w:rsid w:val="69BF6EB2"/>
    <w:rsid w:val="71662034"/>
    <w:rsid w:val="72ED598E"/>
    <w:rsid w:val="7A2D0268"/>
    <w:rsid w:val="7AFD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Plain Text"/>
    <w:basedOn w:val="1"/>
    <w:next w:val="1"/>
    <w:link w:val="38"/>
    <w:qFormat/>
    <w:uiPriority w:val="99"/>
    <w:rPr>
      <w:rFonts w:ascii="宋体" w:hAnsi="Courier New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纯文本 字符"/>
    <w:basedOn w:val="17"/>
    <w:link w:val="11"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885</Words>
  <Characters>919</Characters>
  <Lines>11</Lines>
  <Paragraphs>3</Paragraphs>
  <TotalTime>59</TotalTime>
  <ScaleCrop>false</ScaleCrop>
  <LinksUpToDate>false</LinksUpToDate>
  <CharactersWithSpaces>921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2026-05-07T00:17:00Z</dcterms:created>
  <dc:creator>Administrator</dc:creator>
  <cp:lastModifiedBy>Administrator</cp:lastModifiedBy>
  <dcterms:modified xsi:type="dcterms:W3CDTF">2026-10-30T00:28:13Z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eyJoZGlkIjoiZTFmY2VjOGU4OGQ3MWRhMmI3YzcxZDNkZjhkZWFlZWUiLCJ1c2VySWQiOiIzMjc2NDg3NjYifQ==</vt:lpwstr>
  </property>
  <property fmtid="{D5CDD505-2E9C-101B-9397-08002B2CF9AE}" pid="3" name="KSOProductBuildVer">
    <vt:lpwstr>2052-11.8.2.11718</vt:lpwstr>
  </property>
  <property fmtid="{D5CDD505-2E9C-101B-9397-08002B2CF9AE}" pid="4" name="ICV">
    <vt:lpwstr>5335947A320C4D9ABB92956ED70BBE4C_13</vt:lpwstr>
  </property>
</Properties>
</file>